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r>
        <w:rPr>
          <w:sz w:val="44"/>
        </w:rPr>
        <mc:AlternateContent>
          <mc:Choice Requires="wps">
            <w:drawing>
              <wp:anchor distT="0" distB="0" distL="114300" distR="114300" simplePos="0" relativeHeight="251663360" behindDoc="0" locked="0" layoutInCell="1" allowOverlap="1">
                <wp:simplePos x="0" y="0"/>
                <wp:positionH relativeFrom="column">
                  <wp:posOffset>-459740</wp:posOffset>
                </wp:positionH>
                <wp:positionV relativeFrom="paragraph">
                  <wp:posOffset>-414655</wp:posOffset>
                </wp:positionV>
                <wp:extent cx="523875" cy="666750"/>
                <wp:effectExtent l="0" t="0" r="9525" b="0"/>
                <wp:wrapNone/>
                <wp:docPr id="6" name="文本框 6"/>
                <wp:cNvGraphicFramePr/>
                <a:graphic xmlns:a="http://schemas.openxmlformats.org/drawingml/2006/main">
                  <a:graphicData uri="http://schemas.microsoft.com/office/word/2010/wordprocessingShape">
                    <wps:wsp>
                      <wps:cNvSpPr txBox="true"/>
                      <wps:spPr>
                        <a:xfrm>
                          <a:off x="1045845" y="1031875"/>
                          <a:ext cx="523875" cy="666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2pt;margin-top:-32.65pt;height:52.5pt;width:41.25pt;z-index:251663360;mso-width-relative:page;mso-height-relative:page;" fillcolor="#FFFFFF" filled="t" stroked="f" coordsize="21600,21600" o:gfxdata="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B9OQZLYAAAACQEAAA8AAAAAAAAAAQAgAAAAOAAAAGRycy9kb3ducmV2LnhtbFBLAQIUABQA&#10;AAAIAIdO4kD9OMgNTAIAAG4EAAAOAAAAAAAAAAEAIAAAAD0BAABkcnMvZTJvRG9jLnhtbFBLBQYA&#10;AAAABgAGAFkBAAD7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sz w:val="28"/>
                          <w:szCs w:val="28"/>
                        </w:rPr>
                        <w:fldChar w:fldCharType="begin"/>
                      </w:r>
                      <w:r>
                        <w:rPr>
                          <w:rStyle w:val="18"/>
                          <w:sz w:val="28"/>
                          <w:szCs w:val="28"/>
                        </w:rPr>
                        <w:instrText xml:space="preserve"> PAGE  \* MERGEFORMAT </w:instrText>
                      </w:r>
                      <w:r>
                        <w:rPr>
                          <w:rStyle w:val="18"/>
                          <w:sz w:val="28"/>
                          <w:szCs w:val="28"/>
                        </w:rPr>
                        <w:fldChar w:fldCharType="separate"/>
                      </w:r>
                      <w:r>
                        <w:rPr>
                          <w:rStyle w:val="18"/>
                          <w:sz w:val="28"/>
                          <w:szCs w:val="28"/>
                        </w:rPr>
                        <w:t>2</w:t>
                      </w:r>
                      <w:r>
                        <w:rPr>
                          <w:rStyle w:val="18"/>
                          <w:sz w:val="28"/>
                          <w:szCs w:val="28"/>
                        </w:rPr>
                        <w:fldChar w:fldCharType="end"/>
                      </w:r>
                      <w:r>
                        <w:rPr>
                          <w:rStyle w:val="18"/>
                          <w:sz w:val="28"/>
                          <w:szCs w:val="28"/>
                        </w:rPr>
                        <w:t xml:space="preserve"> —</w:t>
                      </w:r>
                    </w:p>
                    <w:p>
                      <w:pPr>
                        <w:rPr>
                          <w:rFonts w:hint="default"/>
                          <w:lang w:val="en-US" w:eastAsia="zh-CN"/>
                        </w:rPr>
                      </w:pPr>
                    </w:p>
                  </w:txbxContent>
                </v:textbox>
              </v:shape>
            </w:pict>
          </mc:Fallback>
        </mc:AlternateContent>
      </w:r>
      <w:r>
        <w:rPr>
          <w:rFonts w:hint="eastAsia" w:ascii="方正小标宋简体" w:hAnsi="方正小标宋简体" w:eastAsia="方正小标宋简体" w:cs="方正小标宋简体"/>
          <w:sz w:val="44"/>
          <w:szCs w:val="44"/>
          <w:highlight w:val="none"/>
          <w:lang w:eastAsia="zh-CN"/>
        </w:rPr>
        <w:t>舟山市</w:t>
      </w:r>
      <w:r>
        <w:rPr>
          <w:rFonts w:hint="eastAsia" w:ascii="方正小标宋简体" w:hAnsi="方正小标宋简体" w:eastAsia="方正小标宋简体" w:cs="方正小标宋简体"/>
          <w:sz w:val="44"/>
          <w:szCs w:val="44"/>
          <w:highlight w:val="none"/>
        </w:rPr>
        <w:t>人民防空行政处罚裁量基准</w:t>
      </w:r>
    </w:p>
    <w:tbl>
      <w:tblPr>
        <w:tblStyle w:val="15"/>
        <w:tblW w:w="13298" w:type="dxa"/>
        <w:tblInd w:w="3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6"/>
        <w:gridCol w:w="6805"/>
        <w:gridCol w:w="1028"/>
        <w:gridCol w:w="44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986"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rPr>
                <w:rFonts w:hint="eastAsia" w:ascii="方正黑体_GBK" w:hAnsi="方正黑体_GBK" w:eastAsia="方正黑体_GBK" w:cs="方正黑体_GBK"/>
                <w:sz w:val="18"/>
                <w:szCs w:val="18"/>
                <w:highlight w:val="none"/>
              </w:rPr>
            </w:pPr>
            <w:r>
              <w:rPr>
                <w:highlight w:val="none"/>
              </w:rPr>
              <w:br w:type="page"/>
            </w:r>
            <w:r>
              <w:rPr>
                <w:rFonts w:hint="eastAsia" w:ascii="方正黑体_GBK" w:hAnsi="方正黑体_GBK" w:eastAsia="方正黑体_GBK" w:cs="方正黑体_GBK"/>
                <w:sz w:val="18"/>
                <w:szCs w:val="18"/>
                <w:highlight w:val="none"/>
              </w:rPr>
              <w:t>序　　号</w:t>
            </w:r>
          </w:p>
        </w:tc>
        <w:tc>
          <w:tcPr>
            <w:tcW w:w="680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sz w:val="18"/>
                <w:szCs w:val="18"/>
                <w:highlight w:val="none"/>
              </w:rPr>
            </w:pPr>
            <w:r>
              <w:rPr>
                <w:rFonts w:hint="eastAsia" w:ascii="仿宋_GB2312" w:hAnsi="仿宋_GB2312" w:eastAsia="仿宋_GB2312"/>
                <w:color w:val="000000"/>
                <w:sz w:val="18"/>
                <w:szCs w:val="18"/>
                <w:highlight w:val="none"/>
              </w:rPr>
              <w:t>1</w:t>
            </w:r>
          </w:p>
        </w:tc>
        <w:tc>
          <w:tcPr>
            <w:tcW w:w="102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4479"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10" w:lineRule="exact"/>
              <w:jc w:val="center"/>
              <w:rPr>
                <w:sz w:val="18"/>
                <w:szCs w:val="18"/>
                <w:highlight w:val="none"/>
              </w:rPr>
            </w:pPr>
            <w:r>
              <w:rPr>
                <w:rFonts w:hint="eastAsia" w:ascii="仿宋_GB2312" w:hAnsi="仿宋_GB2312" w:eastAsia="仿宋_GB2312"/>
                <w:color w:val="000000"/>
                <w:sz w:val="18"/>
                <w:szCs w:val="18"/>
                <w:highlight w:val="none"/>
              </w:rPr>
              <w:t>330280030000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jc w:val="both"/>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对占用</w:t>
            </w:r>
            <w:r>
              <w:rPr>
                <w:rFonts w:hint="eastAsia" w:ascii="仿宋_GB2312" w:hAnsi="仿宋_GB2312" w:eastAsia="仿宋_GB2312"/>
                <w:color w:val="000000"/>
                <w:sz w:val="18"/>
                <w:szCs w:val="18"/>
                <w:highlight w:val="none"/>
                <w:lang w:eastAsia="zh-CN"/>
              </w:rPr>
              <w:t>人防</w:t>
            </w:r>
            <w:r>
              <w:rPr>
                <w:rFonts w:hint="eastAsia" w:ascii="仿宋_GB2312" w:hAnsi="仿宋_GB2312" w:eastAsia="仿宋_GB2312"/>
                <w:color w:val="000000"/>
                <w:sz w:val="18"/>
                <w:szCs w:val="18"/>
                <w:highlight w:val="none"/>
              </w:rPr>
              <w:t>通信专用频率、使用与防空警报相同音响信号</w:t>
            </w:r>
            <w:r>
              <w:rPr>
                <w:rFonts w:hint="eastAsia" w:ascii="仿宋_GB2312" w:hAnsi="仿宋_GB2312" w:eastAsia="仿宋_GB2312"/>
                <w:color w:val="000000"/>
                <w:sz w:val="18"/>
                <w:szCs w:val="18"/>
                <w:highlight w:val="none"/>
                <w:lang w:eastAsia="zh-CN"/>
              </w:rPr>
              <w:t>或擅自拆除</w:t>
            </w:r>
            <w:r>
              <w:rPr>
                <w:rFonts w:hint="eastAsia" w:ascii="仿宋_GB2312" w:hAnsi="仿宋_GB2312" w:eastAsia="仿宋_GB2312" w:cs="黑体"/>
                <w:color w:val="000000"/>
                <w:sz w:val="18"/>
                <w:szCs w:val="18"/>
                <w:highlight w:val="none"/>
              </w:rPr>
              <w:t>人民防空通信、警报设备设施的行政处罚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1"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1</w:t>
            </w:r>
            <w:r>
              <w:rPr>
                <w:rFonts w:ascii="仿宋_GB2312" w:hAnsi="仿宋_GB2312" w:eastAsia="仿宋_GB2312"/>
                <w:b/>
                <w:bCs/>
                <w:color w:val="000000"/>
                <w:sz w:val="18"/>
                <w:szCs w:val="18"/>
                <w:highlight w:val="none"/>
                <w:lang w:val="en"/>
              </w:rPr>
              <w:t>.</w:t>
            </w:r>
            <w:r>
              <w:rPr>
                <w:rFonts w:hint="eastAsia" w:ascii="仿宋_GB2312" w:hAnsi="仿宋_GB2312" w:eastAsia="仿宋_GB2312"/>
                <w:b/>
                <w:bCs/>
                <w:color w:val="000000"/>
                <w:sz w:val="18"/>
                <w:szCs w:val="18"/>
                <w:highlight w:val="none"/>
              </w:rPr>
              <w:t>《</w:t>
            </w:r>
            <w:r>
              <w:rPr>
                <w:rFonts w:hint="eastAsia" w:ascii="仿宋_GB2312" w:hAnsi="仿宋_GB2312" w:eastAsia="仿宋_GB2312" w:cs="仿宋_GB2312"/>
                <w:b/>
                <w:bCs/>
                <w:color w:val="000000"/>
                <w:sz w:val="18"/>
                <w:szCs w:val="18"/>
                <w:highlight w:val="none"/>
              </w:rPr>
              <w:t>中华人民共和国</w:t>
            </w:r>
            <w:r>
              <w:rPr>
                <w:rFonts w:hint="eastAsia" w:ascii="仿宋_GB2312" w:hAnsi="仿宋_GB2312" w:eastAsia="仿宋_GB2312"/>
                <w:b/>
                <w:bCs/>
                <w:color w:val="000000"/>
                <w:sz w:val="18"/>
                <w:szCs w:val="18"/>
                <w:highlight w:val="none"/>
              </w:rPr>
              <w:t>人民防空法》</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center"/>
              <w:rPr>
                <w:rFonts w:hint="eastAsia" w:ascii="仿宋_GB2312" w:hAnsi="仿宋_GB2312" w:eastAsia="仿宋_GB2312"/>
                <w:b/>
                <w:bCs/>
                <w:color w:val="000000"/>
                <w:sz w:val="18"/>
                <w:szCs w:val="18"/>
                <w:highlight w:val="none"/>
              </w:rPr>
            </w:pPr>
            <w:r>
              <w:rPr>
                <w:rFonts w:hint="default" w:ascii="仿宋_GB2312" w:hAnsi="仿宋_GB2312" w:eastAsia="仿宋_GB2312" w:cs="仿宋_GB2312"/>
                <w:b/>
                <w:bCs/>
                <w:color w:val="000000"/>
                <w:kern w:val="2"/>
                <w:sz w:val="18"/>
                <w:szCs w:val="18"/>
                <w:highlight w:val="none"/>
                <w:lang w:val="en" w:eastAsia="zh-CN" w:bidi="ar-SA"/>
              </w:rPr>
              <w:t>2.</w:t>
            </w: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eastAsia" w:ascii="仿宋_GB2312" w:hAnsi="仿宋_GB2312" w:eastAsia="仿宋_GB2312"/>
                <w:color w:val="000000"/>
                <w:sz w:val="18"/>
                <w:szCs w:val="18"/>
                <w:highlight w:val="none"/>
                <w:lang w:val="en-US" w:eastAsia="zh-CN"/>
              </w:rPr>
            </w:pPr>
            <w:r>
              <w:rPr>
                <w:rFonts w:hint="eastAsia" w:ascii="仿宋_GB2312" w:hAnsi="仿宋_GB2312" w:eastAsia="仿宋_GB2312"/>
                <w:color w:val="000000"/>
                <w:sz w:val="18"/>
                <w:szCs w:val="18"/>
                <w:highlight w:val="none"/>
                <w:lang w:val="en-US" w:eastAsia="zh-CN"/>
              </w:rPr>
              <w:t>第二十八条第一款　任何单位和个人不得擅自拆除人民防空通信、警报设施。确需拆除的，应当与安装相关设施的人民防空主管部门协商，签订重新安装协议。</w:t>
            </w:r>
          </w:p>
          <w:p>
            <w:pPr>
              <w:keepNext w:val="0"/>
              <w:keepLines w:val="0"/>
              <w:pageBreakBefore w:val="0"/>
              <w:widowControl w:val="0"/>
              <w:kinsoku/>
              <w:wordWrap/>
              <w:overflowPunct/>
              <w:topLinePunct w:val="0"/>
              <w:autoSpaceDE/>
              <w:autoSpaceDN w:val="0"/>
              <w:bidi w:val="0"/>
              <w:adjustRightInd/>
              <w:snapToGrid/>
              <w:spacing w:line="210" w:lineRule="exact"/>
              <w:ind w:firstLine="360"/>
              <w:textAlignment w:val="center"/>
              <w:rPr>
                <w:rFonts w:hint="default"/>
                <w:highlight w:val="none"/>
                <w:lang w:val="en"/>
              </w:rPr>
            </w:pPr>
            <w:r>
              <w:rPr>
                <w:rFonts w:hint="eastAsia" w:ascii="仿宋_GB2312" w:hAnsi="仿宋_GB2312" w:eastAsia="仿宋_GB2312"/>
                <w:color w:val="000000"/>
                <w:sz w:val="18"/>
                <w:szCs w:val="18"/>
                <w:highlight w:val="none"/>
                <w:lang w:val="en-US" w:eastAsia="zh-CN"/>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keepNext w:val="0"/>
              <w:keepLines w:val="0"/>
              <w:pageBreakBefore w:val="0"/>
              <w:widowControl w:val="0"/>
              <w:kinsoku/>
              <w:wordWrap/>
              <w:overflowPunct/>
              <w:topLinePunct w:val="0"/>
              <w:autoSpaceDE/>
              <w:autoSpaceDN w:val="0"/>
              <w:bidi w:val="0"/>
              <w:adjustRightInd/>
              <w:snapToGrid/>
              <w:spacing w:line="21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lang w:eastAsia="zh-CN"/>
              </w:rPr>
              <w:t>３</w:t>
            </w:r>
            <w:r>
              <w:rPr>
                <w:rFonts w:hint="eastAsia" w:ascii="仿宋_GB2312" w:hAnsi="仿宋_GB2312" w:eastAsia="仿宋_GB2312"/>
                <w:b/>
                <w:bCs/>
                <w:color w:val="000000"/>
                <w:sz w:val="18"/>
                <w:szCs w:val="18"/>
                <w:highlight w:val="none"/>
              </w:rPr>
              <w:t>.《浙江省人民防空警报设施管理办法》</w:t>
            </w:r>
          </w:p>
          <w:p>
            <w:pPr>
              <w:keepNext w:val="0"/>
              <w:keepLines w:val="0"/>
              <w:pageBreakBefore w:val="0"/>
              <w:widowControl w:val="0"/>
              <w:kinsoku/>
              <w:wordWrap/>
              <w:overflowPunct/>
              <w:topLinePunct w:val="0"/>
              <w:autoSpaceDE/>
              <w:autoSpaceDN w:val="0"/>
              <w:bidi w:val="0"/>
              <w:adjustRightInd/>
              <w:snapToGrid/>
              <w:spacing w:line="210" w:lineRule="exact"/>
              <w:ind w:firstLine="360" w:firstLineChars="200"/>
              <w:textAlignment w:val="bottom"/>
              <w:rPr>
                <w:sz w:val="18"/>
                <w:szCs w:val="18"/>
                <w:highlight w:val="none"/>
                <w:lang w:val="en"/>
              </w:rPr>
            </w:pPr>
            <w:r>
              <w:rPr>
                <w:rFonts w:hint="eastAsia" w:ascii="仿宋_GB2312" w:hAnsi="仿宋_GB2312" w:eastAsia="仿宋_GB2312"/>
                <w:color w:val="000000"/>
                <w:sz w:val="18"/>
                <w:szCs w:val="18"/>
                <w:highlight w:val="none"/>
              </w:rPr>
              <w:t>第二十四条 违反本办法规定，有下列情形之一的，由人民防空主管部门给予警告，责令限期改正，可以对个人并处5000元以下罚款，对单位并处10000元以上50000元以下罚款；造成损失的，应当依法赔偿损失：……（二）占用人民防空通信专用频率、使用与人民防空警报相同的音响信号的</w:t>
            </w:r>
            <w:r>
              <w:rPr>
                <w:rFonts w:hint="eastAsia" w:ascii="仿宋_GB2312" w:hAnsi="仿宋_GB2312" w:eastAsia="仿宋_GB2312"/>
                <w:color w:val="000000"/>
                <w:sz w:val="18"/>
                <w:szCs w:val="18"/>
                <w:highlight w:val="none"/>
                <w:lang w:eastAsia="zh-CN"/>
              </w:rPr>
              <w:t>。</w:t>
            </w:r>
            <w:r>
              <w:rPr>
                <w:rFonts w:hint="eastAsia" w:ascii="仿宋_GB2312" w:hAnsi="仿宋_GB2312" w:eastAsia="仿宋_GB2312"/>
                <w:color w:val="000000"/>
                <w:sz w:val="18"/>
                <w:szCs w:val="18"/>
                <w:highlight w:val="none"/>
              </w:rPr>
              <w:t>（三）擅自拆除人民防空警报设备设施的。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86"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12"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trPr>
        <w:tc>
          <w:tcPr>
            <w:tcW w:w="13298"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bidi w:val="0"/>
              <w:adjustRightInd/>
              <w:snapToGrid/>
              <w:spacing w:line="210" w:lineRule="exact"/>
              <w:jc w:val="center"/>
              <w:rPr>
                <w:rFonts w:hint="eastAsia"/>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986" w:type="dxa"/>
            <w:vMerge w:val="restart"/>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jc w:val="center"/>
              <w:textAlignment w:val="bottom"/>
              <w:rPr>
                <w:rFonts w:hint="eastAsia"/>
                <w:sz w:val="18"/>
                <w:szCs w:val="18"/>
                <w:highlight w:val="none"/>
              </w:rPr>
            </w:pPr>
            <w:r>
              <w:rPr>
                <w:rFonts w:hint="eastAsia" w:ascii="方正黑体_GBK" w:hAnsi="方正黑体_GBK" w:eastAsia="方正黑体_GBK" w:cs="方正黑体_GBK"/>
                <w:sz w:val="18"/>
                <w:szCs w:val="18"/>
                <w:highlight w:val="none"/>
              </w:rPr>
              <w:t>违法情节</w:t>
            </w: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default"/>
                <w:sz w:val="18"/>
                <w:szCs w:val="18"/>
                <w:highlight w:val="none"/>
                <w:lang w:val="en"/>
              </w:rPr>
            </w:pPr>
            <w:r>
              <w:rPr>
                <w:rFonts w:hint="eastAsia" w:ascii="仿宋_GB2312" w:hAnsi="仿宋_GB2312" w:eastAsia="仿宋_GB2312"/>
                <w:color w:val="000000"/>
                <w:sz w:val="18"/>
                <w:szCs w:val="18"/>
                <w:highlight w:val="none"/>
              </w:rPr>
              <w:t>占用人防通信专用频率、使用与防空警报相同的音响信号，5次以下、30秒以下或影响范围涉及1万平方米以下的</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通信、警报设施设备，未造成损坏或未影响正常使用的。</w:t>
            </w:r>
          </w:p>
        </w:tc>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rFonts w:hint="eastAsia"/>
                <w:sz w:val="18"/>
                <w:szCs w:val="18"/>
                <w:highlight w:val="none"/>
              </w:rPr>
            </w:pPr>
            <w:r>
              <w:rPr>
                <w:rFonts w:hint="eastAsia" w:ascii="方正黑体_GBK" w:hAnsi="方正黑体_GBK" w:eastAsia="方正黑体_GBK" w:cs="方正黑体_GBK"/>
                <w:sz w:val="18"/>
                <w:szCs w:val="18"/>
                <w:highlight w:val="none"/>
              </w:rPr>
              <w:t>处罚标准</w:t>
            </w: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给予警告；责令限期改正；对个人处１千元罚款，对单位处１万元罚款。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w:t>
            </w:r>
            <w:r>
              <w:rPr>
                <w:rFonts w:hint="eastAsia" w:ascii="仿宋_GB2312" w:hAnsi="仿宋_GB2312" w:eastAsia="仿宋_GB2312" w:cs="仿宋_GB2312"/>
                <w:color w:val="000000"/>
                <w:sz w:val="18"/>
                <w:szCs w:val="18"/>
                <w:highlight w:val="none"/>
              </w:rPr>
              <w:t>5</w:t>
            </w:r>
            <w:r>
              <w:rPr>
                <w:rFonts w:hint="eastAsia" w:ascii="仿宋_GB2312" w:hAnsi="仿宋_GB2312" w:eastAsia="仿宋_GB2312"/>
                <w:color w:val="000000"/>
                <w:sz w:val="18"/>
                <w:szCs w:val="18"/>
                <w:highlight w:val="none"/>
              </w:rPr>
              <w:t>次以上10次以下、30秒以上60秒以下或影响范围涉及1万平方米以上10万平方米以下的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2000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占用人防通信专用频率、使用与防空警报相同音响信号，10次以上15次以下、60秒以上90秒以下或影响范围涉及10万平方米以上50万平方米以下的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擅自拆除人民防空通信、警报设施设备，造成损失</w:t>
            </w:r>
            <w:r>
              <w:rPr>
                <w:rFonts w:hint="default" w:ascii="仿宋_GB2312" w:hAnsi="仿宋_GB2312" w:eastAsia="仿宋_GB2312"/>
                <w:color w:val="000000"/>
                <w:sz w:val="18"/>
                <w:szCs w:val="18"/>
                <w:highlight w:val="none"/>
                <w:lang w:val="en" w:eastAsia="zh-CN"/>
              </w:rPr>
              <w:t>2000</w:t>
            </w:r>
            <w:r>
              <w:rPr>
                <w:rFonts w:hint="eastAsia" w:ascii="仿宋_GB2312" w:hAnsi="仿宋_GB2312" w:eastAsia="仿宋_GB2312"/>
                <w:color w:val="000000"/>
                <w:sz w:val="18"/>
                <w:szCs w:val="18"/>
                <w:highlight w:val="none"/>
                <w:lang w:val="en" w:eastAsia="zh-CN"/>
              </w:rPr>
              <w:t>元以上</w:t>
            </w:r>
            <w:r>
              <w:rPr>
                <w:rFonts w:hint="default" w:ascii="仿宋_GB2312" w:hAnsi="仿宋_GB2312" w:eastAsia="仿宋_GB2312"/>
                <w:color w:val="000000"/>
                <w:sz w:val="18"/>
                <w:szCs w:val="18"/>
                <w:highlight w:val="none"/>
                <w:lang w:val="en" w:eastAsia="zh-CN"/>
              </w:rPr>
              <w:t>5000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占用人防通信专用频率、使用与防空警报相同音响信号，15次以上20次以下、90秒以上120秒以下或影响范围涉及50万平方米以上100万平方米以下的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5000</w:t>
            </w:r>
            <w:r>
              <w:rPr>
                <w:rFonts w:hint="eastAsia" w:ascii="仿宋_GB2312" w:hAnsi="仿宋_GB2312" w:eastAsia="仿宋_GB2312"/>
                <w:color w:val="000000"/>
                <w:sz w:val="18"/>
                <w:szCs w:val="18"/>
                <w:highlight w:val="none"/>
                <w:lang w:val="en" w:eastAsia="zh-CN"/>
              </w:rPr>
              <w:t>元以上</w:t>
            </w:r>
            <w:r>
              <w:rPr>
                <w:rFonts w:hint="default" w:ascii="仿宋_GB2312" w:hAnsi="仿宋_GB2312" w:eastAsia="仿宋_GB2312"/>
                <w:color w:val="000000"/>
                <w:sz w:val="18"/>
                <w:szCs w:val="18"/>
                <w:highlight w:val="none"/>
                <w:lang w:val="en" w:eastAsia="zh-CN"/>
              </w:rPr>
              <w:t>10000</w:t>
            </w:r>
            <w:r>
              <w:rPr>
                <w:rFonts w:hint="eastAsia" w:ascii="仿宋_GB2312" w:hAnsi="仿宋_GB2312" w:eastAsia="仿宋_GB2312"/>
                <w:color w:val="000000"/>
                <w:sz w:val="18"/>
                <w:szCs w:val="18"/>
                <w:highlight w:val="none"/>
                <w:lang w:val="en" w:eastAsia="zh-CN"/>
              </w:rPr>
              <w:t>元以下的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986"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6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eastAsia" w:ascii="仿宋_GB2312" w:hAnsi="仿宋_GB2312" w:eastAsia="仿宋_GB2312" w:cs="黑体"/>
                <w:color w:val="000000"/>
                <w:kern w:val="2"/>
                <w:sz w:val="18"/>
                <w:szCs w:val="18"/>
                <w:highlight w:val="none"/>
                <w:lang w:val="en-US" w:eastAsia="zh-CN" w:bidi="ar-SA"/>
              </w:rPr>
            </w:pPr>
            <w:r>
              <w:rPr>
                <w:rFonts w:hint="eastAsia" w:ascii="仿宋_GB2312" w:hAnsi="仿宋_GB2312" w:eastAsia="仿宋_GB2312"/>
                <w:color w:val="000000"/>
                <w:sz w:val="18"/>
                <w:szCs w:val="18"/>
                <w:highlight w:val="none"/>
              </w:rPr>
              <w:t>占用人防通信专用频率、使用与防空警报相同音响信号，20次以上、120秒以上或影响范围涉及100万平方米以上的</w:t>
            </w:r>
            <w:r>
              <w:rPr>
                <w:rFonts w:hint="eastAsia" w:ascii="仿宋_GB2312" w:hAnsi="仿宋_GB2312" w:eastAsia="仿宋_GB2312"/>
                <w:color w:val="000000"/>
                <w:sz w:val="18"/>
                <w:szCs w:val="18"/>
                <w:highlight w:val="none"/>
                <w:lang w:val="en" w:eastAsia="zh-CN"/>
              </w:rPr>
              <w:t>。</w:t>
            </w:r>
            <w:r>
              <w:rPr>
                <w:rFonts w:hint="eastAsia" w:ascii="仿宋_GB2312" w:hAnsi="仿宋_GB2312" w:eastAsia="仿宋_GB2312"/>
                <w:color w:val="000000"/>
                <w:sz w:val="18"/>
                <w:szCs w:val="18"/>
                <w:highlight w:val="none"/>
                <w:lang w:eastAsia="zh-CN"/>
              </w:rPr>
              <w:t>擅自拆除</w:t>
            </w:r>
            <w:r>
              <w:rPr>
                <w:rFonts w:hint="eastAsia" w:ascii="仿宋_GB2312" w:hAnsi="仿宋_GB2312" w:eastAsia="仿宋_GB2312"/>
                <w:color w:val="000000"/>
                <w:sz w:val="18"/>
                <w:szCs w:val="18"/>
                <w:highlight w:val="none"/>
              </w:rPr>
              <w:t>人防</w:t>
            </w:r>
            <w:r>
              <w:rPr>
                <w:rFonts w:hint="eastAsia" w:ascii="仿宋_GB2312" w:hAnsi="仿宋_GB2312" w:eastAsia="仿宋_GB2312"/>
                <w:color w:val="000000"/>
                <w:sz w:val="18"/>
                <w:szCs w:val="18"/>
                <w:highlight w:val="none"/>
                <w:lang w:eastAsia="zh-CN"/>
              </w:rPr>
              <w:t>通信、警报设施设备，造成损失</w:t>
            </w:r>
            <w:r>
              <w:rPr>
                <w:rFonts w:hint="default" w:ascii="仿宋_GB2312" w:hAnsi="仿宋_GB2312" w:eastAsia="仿宋_GB2312"/>
                <w:color w:val="000000"/>
                <w:sz w:val="18"/>
                <w:szCs w:val="18"/>
                <w:highlight w:val="none"/>
                <w:lang w:val="en" w:eastAsia="zh-CN"/>
              </w:rPr>
              <w:t>10000</w:t>
            </w:r>
            <w:r>
              <w:rPr>
                <w:rFonts w:hint="eastAsia" w:ascii="仿宋_GB2312" w:hAnsi="仿宋_GB2312" w:eastAsia="仿宋_GB2312"/>
                <w:color w:val="000000"/>
                <w:sz w:val="18"/>
                <w:szCs w:val="18"/>
                <w:highlight w:val="none"/>
                <w:lang w:val="en" w:eastAsia="zh-CN"/>
              </w:rPr>
              <w:t>元以上或影响警报试鸣的</w:t>
            </w:r>
            <w:r>
              <w:rPr>
                <w:rFonts w:hint="eastAsia" w:ascii="仿宋_GB2312" w:hAnsi="仿宋_GB2312" w:eastAsia="仿宋_GB2312"/>
                <w:color w:val="000000"/>
                <w:sz w:val="18"/>
                <w:szCs w:val="18"/>
                <w:highlight w:val="none"/>
                <w:lang w:eastAsia="zh-CN"/>
              </w:rPr>
              <w:t>。</w:t>
            </w: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210" w:lineRule="exact"/>
              <w:jc w:val="center"/>
              <w:rPr>
                <w:sz w:val="18"/>
                <w:szCs w:val="18"/>
                <w:highlight w:val="none"/>
              </w:rPr>
            </w:pPr>
          </w:p>
        </w:tc>
        <w:tc>
          <w:tcPr>
            <w:tcW w:w="447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298"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10" w:lineRule="exact"/>
              <w:textAlignment w:val="center"/>
              <w:rPr>
                <w:rFonts w:hint="default" w:ascii="仿宋_GB2312" w:hAnsi="仿宋_GB2312" w:eastAsia="仿宋_GB2312"/>
                <w:color w:val="000000"/>
                <w:sz w:val="18"/>
                <w:szCs w:val="18"/>
                <w:highlight w:val="none"/>
                <w:lang w:val="en" w:eastAsia="zh-CN"/>
              </w:rPr>
            </w:pPr>
            <w:r>
              <w:rPr>
                <w:rFonts w:hint="eastAsia" w:ascii="仿宋_GB2312" w:hAnsi="仿宋_GB2312" w:eastAsia="仿宋_GB2312"/>
                <w:color w:val="000000"/>
                <w:sz w:val="18"/>
                <w:szCs w:val="18"/>
                <w:highlight w:val="none"/>
                <w:lang w:eastAsia="zh-CN"/>
              </w:rPr>
              <w:t>注：同时有２种违法情节的，按照较重的情节、再提高一个阶次处罚，但最高不超过</w:t>
            </w:r>
            <w:r>
              <w:rPr>
                <w:rFonts w:hint="default" w:ascii="仿宋_GB2312" w:hAnsi="仿宋_GB2312" w:eastAsia="仿宋_GB2312"/>
                <w:color w:val="000000"/>
                <w:sz w:val="18"/>
                <w:szCs w:val="18"/>
                <w:highlight w:val="none"/>
                <w:lang w:val="en" w:eastAsia="zh-CN"/>
              </w:rPr>
              <w:t>5</w:t>
            </w:r>
            <w:r>
              <w:rPr>
                <w:rFonts w:hint="eastAsia" w:ascii="仿宋_GB2312" w:hAnsi="仿宋_GB2312" w:eastAsia="仿宋_GB2312"/>
                <w:color w:val="000000"/>
                <w:sz w:val="18"/>
                <w:szCs w:val="18"/>
                <w:highlight w:val="none"/>
                <w:lang w:val="en" w:eastAsia="zh-CN"/>
              </w:rPr>
              <w:t>万元。</w:t>
            </w:r>
          </w:p>
        </w:tc>
      </w:tr>
    </w:tbl>
    <w:p>
      <w:pPr>
        <w:rPr>
          <w:highlight w:val="none"/>
        </w:rPr>
      </w:pPr>
    </w:p>
    <w:tbl>
      <w:tblPr>
        <w:tblStyle w:val="15"/>
        <w:tblW w:w="12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96"/>
        <w:gridCol w:w="5609"/>
        <w:gridCol w:w="1007"/>
        <w:gridCol w:w="4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96"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5609" w:type="dxa"/>
            <w:noWrap w:val="0"/>
            <w:vAlign w:val="center"/>
          </w:tcPr>
          <w:p>
            <w:pPr>
              <w:keepNext w:val="0"/>
              <w:keepLines w:val="0"/>
              <w:pageBreakBefore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２</w:t>
            </w:r>
          </w:p>
        </w:tc>
        <w:tc>
          <w:tcPr>
            <w:tcW w:w="1007" w:type="dxa"/>
            <w:noWrap w:val="0"/>
            <w:vAlign w:val="center"/>
          </w:tcPr>
          <w:p>
            <w:pPr>
              <w:keepNext w:val="0"/>
              <w:keepLines w:val="0"/>
              <w:pageBreakBefore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4250"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330280029000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0866" w:type="dxa"/>
            <w:gridSpan w:val="3"/>
            <w:noWrap w:val="0"/>
            <w:vAlign w:val="center"/>
          </w:tcPr>
          <w:p>
            <w:pPr>
              <w:autoSpaceDN w:val="0"/>
              <w:spacing w:line="240" w:lineRule="exact"/>
              <w:textAlignment w:val="center"/>
              <w:rPr>
                <w:rFonts w:hint="eastAsia"/>
                <w:highlight w:val="none"/>
              </w:rPr>
            </w:pPr>
            <w:r>
              <w:rPr>
                <w:rFonts w:hint="eastAsia" w:ascii="仿宋_GB2312" w:hAnsi="仿宋_GB2312" w:eastAsia="仿宋_GB2312"/>
                <w:color w:val="000000"/>
                <w:sz w:val="18"/>
                <w:szCs w:val="18"/>
                <w:highlight w:val="none"/>
              </w:rPr>
              <w:t>对被许可人以不正当手段取得行政许可的行政处罚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0866"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《中华人民共和国行政许可法》　  </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9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0866" w:type="dxa"/>
            <w:gridSpan w:val="3"/>
            <w:noWrap w:val="0"/>
            <w:vAlign w:val="center"/>
          </w:tcPr>
          <w:p>
            <w:pPr>
              <w:autoSpaceDN w:val="0"/>
              <w:spacing w:line="240" w:lineRule="exact"/>
              <w:textAlignment w:val="center"/>
              <w:rPr>
                <w:rFonts w:ascii="仿宋_GB2312" w:hAnsi="仿宋_GB2312" w:eastAsia="仿宋_GB2312"/>
                <w:color w:val="000000"/>
                <w:sz w:val="18"/>
                <w:szCs w:val="18"/>
                <w:highlight w:val="none"/>
                <w:lang w:val="e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6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09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被许可人以欺骗、贿赂等不正当手段取得行政许可的。</w:t>
            </w:r>
          </w:p>
        </w:tc>
        <w:tc>
          <w:tcPr>
            <w:tcW w:w="1007" w:type="dxa"/>
            <w:vMerge w:val="restart"/>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4250" w:type="dxa"/>
            <w:noWrap w:val="0"/>
            <w:vAlign w:val="center"/>
          </w:tcPr>
          <w:p>
            <w:pPr>
              <w:autoSpaceDN w:val="0"/>
              <w:spacing w:line="24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依法给予行政处罚。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96" w:type="dxa"/>
            <w:vMerge w:val="continue"/>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取得的行政许可属于直接关系公共安全、人身健康、生命财产安全事项的。</w:t>
            </w:r>
          </w:p>
        </w:tc>
        <w:tc>
          <w:tcPr>
            <w:tcW w:w="1007" w:type="dxa"/>
            <w:vMerge w:val="continue"/>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p>
        </w:tc>
        <w:tc>
          <w:tcPr>
            <w:tcW w:w="425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申请人在三年内不得再次申请该行政许可。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96" w:type="dxa"/>
            <w:vMerge w:val="continue"/>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p>
        </w:tc>
        <w:tc>
          <w:tcPr>
            <w:tcW w:w="5609"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构成犯罪的。</w:t>
            </w:r>
          </w:p>
        </w:tc>
        <w:tc>
          <w:tcPr>
            <w:tcW w:w="1007" w:type="dxa"/>
            <w:vMerge w:val="continue"/>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p>
        </w:tc>
        <w:tc>
          <w:tcPr>
            <w:tcW w:w="425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依法追究刑事责任。</w:t>
            </w:r>
          </w:p>
        </w:tc>
      </w:tr>
    </w:tbl>
    <w:p>
      <w:pPr>
        <w:rPr>
          <w:sz w:val="18"/>
          <w:szCs w:val="18"/>
          <w:highlight w:val="none"/>
        </w:rPr>
      </w:pPr>
      <w:r>
        <w:rPr>
          <w:sz w:val="44"/>
        </w:rPr>
        <mc:AlternateContent>
          <mc:Choice Requires="wps">
            <w:drawing>
              <wp:anchor distT="0" distB="0" distL="114300" distR="114300" simplePos="0" relativeHeight="251675648" behindDoc="0" locked="0" layoutInCell="1" allowOverlap="1">
                <wp:simplePos x="0" y="0"/>
                <wp:positionH relativeFrom="column">
                  <wp:posOffset>-505460</wp:posOffset>
                </wp:positionH>
                <wp:positionV relativeFrom="paragraph">
                  <wp:posOffset>1487170</wp:posOffset>
                </wp:positionV>
                <wp:extent cx="523875" cy="795020"/>
                <wp:effectExtent l="0" t="0" r="9525" b="5080"/>
                <wp:wrapNone/>
                <wp:docPr id="12" name="文本框 12"/>
                <wp:cNvGraphicFramePr/>
                <a:graphic xmlns:a="http://schemas.openxmlformats.org/drawingml/2006/main">
                  <a:graphicData uri="http://schemas.microsoft.com/office/word/2010/wordprocessingShape">
                    <wps:wsp>
                      <wps:cNvSpPr txBox="true"/>
                      <wps:spPr>
                        <a:xfrm>
                          <a:off x="0" y="0"/>
                          <a:ext cx="523875" cy="79502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8pt;margin-top:117.1pt;height:62.6pt;width:41.25pt;z-index:251675648;mso-width-relative:page;mso-height-relative:page;" fillcolor="#FFFFFF" filled="t" stroked="f" coordsize="21600,21600" o:gfxdata="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wX&#10;bRnZAAAACQEAAA8AAAAAAAAAAQAgAAAAOAAAAGRycy9kb3ducmV2LnhtbFBLAQIUABQAAAAIAIdO&#10;4kAElJtMRQIAAGQEAAAOAAAAAAAAAAEAIAAAAD4BAABkcnMvZTJvRG9jLnhtbFBLBQYAAAAABgAG&#10;AFkBAAD1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3</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
        <w:rPr>
          <w:sz w:val="18"/>
          <w:szCs w:val="18"/>
          <w:highlight w:val="none"/>
        </w:rPr>
      </w:pPr>
      <w:r>
        <w:rPr>
          <w:sz w:val="44"/>
        </w:rPr>
        <mc:AlternateContent>
          <mc:Choice Requires="wps">
            <w:drawing>
              <wp:anchor distT="0" distB="0" distL="114300" distR="114300" simplePos="0" relativeHeight="251687936" behindDoc="0" locked="0" layoutInCell="1" allowOverlap="1">
                <wp:simplePos x="0" y="0"/>
                <wp:positionH relativeFrom="column">
                  <wp:posOffset>-360680</wp:posOffset>
                </wp:positionH>
                <wp:positionV relativeFrom="paragraph">
                  <wp:posOffset>-320040</wp:posOffset>
                </wp:positionV>
                <wp:extent cx="428625" cy="678815"/>
                <wp:effectExtent l="0" t="0" r="9525" b="6985"/>
                <wp:wrapNone/>
                <wp:docPr id="13" name="文本框 13"/>
                <wp:cNvGraphicFramePr/>
                <a:graphic xmlns:a="http://schemas.openxmlformats.org/drawingml/2006/main">
                  <a:graphicData uri="http://schemas.microsoft.com/office/word/2010/wordprocessingShape">
                    <wps:wsp>
                      <wps:cNvSpPr txBox="true"/>
                      <wps:spPr>
                        <a:xfrm>
                          <a:off x="0" y="0"/>
                          <a:ext cx="428625" cy="67881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4pt;margin-top:-25.2pt;height:53.45pt;width:33.75pt;z-index:251687936;mso-width-relative:page;mso-height-relative:page;" fillcolor="#FFFFFF" filled="t" stroked="f" coordsize="21600,21600" o:gfxdata="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GwbOGtcA&#10;AAAJAQAADwAAAAAAAAABACAAAAA4AAAAZHJzL2Rvd25yZXYueG1sUEsBAhQAFAAAAAgAh07iQKbr&#10;o01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4</w:t>
                      </w:r>
                      <w:r>
                        <w:rPr>
                          <w:rStyle w:val="18"/>
                          <w:sz w:val="28"/>
                          <w:szCs w:val="28"/>
                        </w:rPr>
                        <w:t xml:space="preserve"> —</w:t>
                      </w:r>
                    </w:p>
                    <w:p>
                      <w:pPr>
                        <w:rPr>
                          <w:rFonts w:hint="default"/>
                          <w:lang w:val="en-US" w:eastAsia="zh-CN"/>
                        </w:rPr>
                      </w:pPr>
                    </w:p>
                  </w:txbxContent>
                </v:textbox>
              </v:shape>
            </w:pict>
          </mc:Fallback>
        </mc:AlternateContent>
      </w:r>
    </w:p>
    <w:p>
      <w:pPr>
        <w:pStyle w:val="2"/>
      </w:pPr>
    </w:p>
    <w:tbl>
      <w:tblPr>
        <w:tblStyle w:val="15"/>
        <w:tblpPr w:leftFromText="180" w:rightFromText="180" w:vertAnchor="text" w:horzAnchor="page" w:tblpX="2019" w:tblpY="-6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4106"/>
        <w:gridCol w:w="974"/>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95"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sz w:val="18"/>
                <w:szCs w:val="18"/>
                <w:highlight w:val="none"/>
              </w:rPr>
            </w:pPr>
            <w:r>
              <w:rPr>
                <w:highlight w:val="none"/>
              </w:rPr>
              <w:br w:type="page"/>
            </w: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451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3</w:t>
            </w:r>
          </w:p>
        </w:tc>
        <w:tc>
          <w:tcPr>
            <w:tcW w:w="10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7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highlight w:val="none"/>
              </w:rPr>
              <w:t>330280020000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97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对拒绝、阻挠安装人防通信、警报设施，拒不改正的行政处罚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19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979"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highlight w:val="none"/>
              </w:rPr>
            </w:pPr>
            <w:r>
              <w:rPr>
                <w:rFonts w:ascii="仿宋_GB2312" w:hAnsi="仿宋_GB2312" w:eastAsia="仿宋_GB2312"/>
                <w:b/>
                <w:bCs/>
                <w:color w:val="000000"/>
                <w:sz w:val="18"/>
                <w:highlight w:val="none"/>
                <w:lang w:val="en"/>
              </w:rPr>
              <w:t>1.</w:t>
            </w:r>
            <w:r>
              <w:rPr>
                <w:rFonts w:hint="eastAsia" w:ascii="仿宋_GB2312" w:hAnsi="仿宋_GB2312" w:eastAsia="仿宋_GB2312"/>
                <w:b/>
                <w:bCs/>
                <w:color w:val="000000"/>
                <w:sz w:val="18"/>
                <w:highlight w:val="none"/>
              </w:rPr>
              <w:t>《中华人民共和国人民防空法》</w:t>
            </w:r>
          </w:p>
          <w:p>
            <w:pPr>
              <w:autoSpaceDN w:val="0"/>
              <w:spacing w:line="240" w:lineRule="exact"/>
              <w:ind w:firstLine="360" w:firstLineChars="200"/>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p>
          <w:p>
            <w:pPr>
              <w:autoSpaceDN w:val="0"/>
              <w:spacing w:line="240" w:lineRule="exact"/>
              <w:ind w:firstLine="361" w:firstLineChars="200"/>
              <w:textAlignment w:val="center"/>
              <w:rPr>
                <w:rFonts w:hint="eastAsia" w:ascii="仿宋_GB2312" w:hAnsi="仿宋_GB2312" w:eastAsia="仿宋_GB2312"/>
                <w:b/>
                <w:bCs/>
                <w:color w:val="000000"/>
                <w:sz w:val="18"/>
                <w:highlight w:val="none"/>
              </w:rPr>
            </w:pPr>
            <w:r>
              <w:rPr>
                <w:rFonts w:ascii="仿宋_GB2312" w:hAnsi="仿宋_GB2312" w:eastAsia="仿宋_GB2312"/>
                <w:b/>
                <w:bCs/>
                <w:color w:val="000000"/>
                <w:sz w:val="18"/>
                <w:highlight w:val="none"/>
                <w:lang w:val="en"/>
              </w:rPr>
              <w:t>2.</w:t>
            </w:r>
            <w:r>
              <w:rPr>
                <w:rFonts w:hint="eastAsia" w:ascii="仿宋_GB2312" w:hAnsi="仿宋_GB2312" w:eastAsia="仿宋_GB2312"/>
                <w:b/>
                <w:bCs/>
                <w:color w:val="000000"/>
                <w:sz w:val="18"/>
                <w:highlight w:val="none"/>
              </w:rPr>
              <w:t xml:space="preserve">《浙江省人民防空警报设施管理办法》  </w:t>
            </w:r>
          </w:p>
          <w:p>
            <w:pPr>
              <w:autoSpaceDN w:val="0"/>
              <w:spacing w:line="240" w:lineRule="exact"/>
              <w:ind w:firstLine="360" w:firstLineChars="200"/>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第二十四条  违反本办法规定,有下列情形之一的，由人民防空主管部门给予警告，责令限期改正,可以对个人并处5000元以下罚款，对单位并处10000元以上50000元以下罚款；造成损失的，应当依法赔偿损失：（一）拒绝、阻挠安装人民防空警报设施,拒不改正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97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4"/>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9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拒绝、阻挠安装人民防空通信、警报设施，拒不改正，耽误施工工期５日以下的。</w:t>
            </w:r>
          </w:p>
        </w:tc>
        <w:tc>
          <w:tcPr>
            <w:tcW w:w="1041"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给予警告；责令限期改正；对个人处１千元罚款，对单位处１万元罚款。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拒绝、阻挠安装人民防空通信、警报设施，拒不改正，耽误施工工期５日以上15日以下的。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拒绝、阻挠安装人民防空通信、警报设施，拒不改正，耽误施工工期15日以上30日以下的。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千元罚款，对单位处２万元至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拒绝、阻挠安装人民防空通信、警报设施，拒不改正，耽误施工工期30日以上60日以下的。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千元罚款，对单位处３万元至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9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518"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拒绝、阻挠安装人民防空通信、警报设施，拒不改正，耽误施工工期60日以上或影响人防警报试鸣的。</w:t>
            </w:r>
          </w:p>
        </w:tc>
        <w:tc>
          <w:tcPr>
            <w:tcW w:w="104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420"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sz w:val="18"/>
          <w:szCs w:val="18"/>
          <w:highlight w:val="none"/>
        </w:rPr>
      </w:pPr>
      <w:r>
        <w:rPr>
          <w:sz w:val="18"/>
          <w:szCs w:val="18"/>
          <w:highlight w:val="none"/>
        </w:rPr>
        <w:br w:type="page"/>
      </w:r>
    </w:p>
    <w:p>
      <w:pPr>
        <w:pStyle w:val="2"/>
      </w:pPr>
    </w:p>
    <w:tbl>
      <w:tblPr>
        <w:tblStyle w:val="15"/>
        <w:tblW w:w="131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4699"/>
        <w:gridCol w:w="1042"/>
        <w:gridCol w:w="6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7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69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4</w:t>
            </w:r>
          </w:p>
        </w:tc>
        <w:tc>
          <w:tcPr>
            <w:tcW w:w="104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3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7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062"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s="黑体"/>
                <w:color w:val="000000"/>
                <w:sz w:val="18"/>
                <w:szCs w:val="18"/>
                <w:highlight w:val="none"/>
              </w:rPr>
              <w:t>对</w:t>
            </w:r>
            <w:r>
              <w:rPr>
                <w:rFonts w:hint="eastAsia" w:ascii="仿宋_GB2312" w:hAnsi="仿宋_GB2312" w:eastAsia="仿宋_GB2312" w:cs="黑体"/>
                <w:color w:val="000000"/>
                <w:sz w:val="18"/>
                <w:szCs w:val="18"/>
                <w:highlight w:val="none"/>
                <w:lang w:eastAsia="zh-CN"/>
              </w:rPr>
              <w:t>人防工程</w:t>
            </w:r>
            <w:r>
              <w:rPr>
                <w:rFonts w:hint="eastAsia" w:ascii="仿宋_GB2312" w:hAnsi="仿宋_GB2312" w:eastAsia="仿宋_GB2312" w:cs="黑体"/>
                <w:color w:val="000000"/>
                <w:sz w:val="18"/>
                <w:szCs w:val="18"/>
                <w:highlight w:val="none"/>
              </w:rPr>
              <w:t>维护管理不符合要求的行政处罚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79"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062"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《浙江省人民防空工程管理办法》</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第三十条 维护管理责任单位应当按照国家和省有关标准、规范，保持人民防空工程及其设施设备完好，确保人民防空工程处于良好使用状态，并符合下列要求：（一）结构及其构件完好，工程无渗漏，构配件无破损、严重锈蚀等现象；（二）通风与空调、给排水、电气、通信、消防等系统运行正常；（三）防护、消防、防水、防汛等设施设备性能良好，安全可靠；（四）室内空气质量等符合相关国家和地方标准；（五）进出道路通畅，孔口伪装和地面附属设施完好；（六）与备案的竣工验收文件一致，无擅自开洞、分隔内部空间和改变设计功能；（七）国家和省规定的其他要求。</w:t>
            </w:r>
          </w:p>
          <w:p>
            <w:pPr>
              <w:autoSpaceDN w:val="0"/>
              <w:spacing w:line="240" w:lineRule="exact"/>
              <w:ind w:firstLine="360" w:firstLineChars="200"/>
              <w:textAlignment w:val="center"/>
              <w:rPr>
                <w:sz w:val="18"/>
                <w:szCs w:val="18"/>
                <w:highlight w:val="none"/>
              </w:rPr>
            </w:pPr>
            <w:r>
              <w:rPr>
                <w:rFonts w:hint="eastAsia" w:ascii="仿宋_GB2312" w:hAnsi="仿宋_GB2312" w:eastAsia="仿宋_GB2312"/>
                <w:color w:val="000000"/>
                <w:sz w:val="18"/>
                <w:szCs w:val="18"/>
                <w:highlight w:val="none"/>
              </w:rPr>
              <w:t>第三十八条 维护管理责任单位对人民防空工程的维护管理不符合本办法第三十条要求的，由人民防空主管部门责令限期改正；未在规定期限内改正的，处１万元以上３万元以下罚款。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06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s="Times New Roman"/>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141" w:type="dxa"/>
            <w:gridSpan w:val="4"/>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9"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699"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有一项违法行为逾期未改正的。</w:t>
            </w:r>
          </w:p>
        </w:tc>
        <w:tc>
          <w:tcPr>
            <w:tcW w:w="1042"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有二项违法行为逾期未改正的。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处１万元至１万５千元罚款。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有三项违法行为逾期未改正的。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处１万５千元至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有四项违法行为逾期未改正的。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万５千元罚款。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7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699" w:type="dxa"/>
            <w:noWrap w:val="0"/>
            <w:vAlign w:val="center"/>
          </w:tcPr>
          <w:p>
            <w:pPr>
              <w:autoSpaceDN w:val="0"/>
              <w:spacing w:line="240" w:lineRule="exact"/>
              <w:jc w:val="left"/>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有五项以上违法行为逾期未改正的。</w:t>
            </w:r>
          </w:p>
        </w:tc>
        <w:tc>
          <w:tcPr>
            <w:tcW w:w="104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321" w:type="dxa"/>
            <w:noWrap w:val="0"/>
            <w:vAlign w:val="center"/>
          </w:tcPr>
          <w:p>
            <w:pPr>
              <w:autoSpaceDN w:val="0"/>
              <w:spacing w:line="240" w:lineRule="exact"/>
              <w:jc w:val="left"/>
              <w:textAlignment w:val="bottom"/>
              <w:rPr>
                <w:rFonts w:ascii="仿宋_GB2312" w:hAnsi="仿宋_GB2312" w:eastAsia="仿宋_GB2312" w:cs="Times New Roman"/>
                <w:color w:val="000000"/>
                <w:sz w:val="18"/>
                <w:szCs w:val="18"/>
                <w:highlight w:val="none"/>
                <w:lang w:val="en"/>
              </w:rPr>
            </w:pPr>
            <w:r>
              <w:rPr>
                <w:rFonts w:hint="eastAsia" w:ascii="仿宋_GB2312" w:hAnsi="仿宋_GB2312" w:eastAsia="仿宋_GB2312" w:cs="Times New Roman"/>
                <w:color w:val="000000"/>
                <w:sz w:val="18"/>
                <w:szCs w:val="18"/>
                <w:highlight w:val="none"/>
              </w:rPr>
              <w:t>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万５千元至</w:t>
            </w:r>
            <w:r>
              <w:rPr>
                <w:rFonts w:ascii="仿宋_GB2312" w:hAnsi="仿宋_GB2312" w:eastAsia="仿宋_GB2312" w:cs="Times New Roman"/>
                <w:color w:val="000000"/>
                <w:sz w:val="18"/>
                <w:szCs w:val="18"/>
                <w:highlight w:val="none"/>
                <w:lang w:val="en"/>
              </w:rPr>
              <w:t>3</w:t>
            </w:r>
            <w:r>
              <w:rPr>
                <w:rFonts w:hint="eastAsia" w:ascii="仿宋_GB2312" w:hAnsi="仿宋_GB2312" w:eastAsia="仿宋_GB2312" w:cs="Times New Roman"/>
                <w:color w:val="000000"/>
                <w:sz w:val="18"/>
                <w:szCs w:val="18"/>
                <w:highlight w:val="none"/>
                <w:lang w:val="en"/>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141" w:type="dxa"/>
            <w:gridSpan w:val="4"/>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注：工程内有一项违法行为涉及多个点位的，可根据数量酌情处罚，但不得超过处罚上限。</w:t>
            </w:r>
          </w:p>
        </w:tc>
      </w:tr>
    </w:tbl>
    <w:p>
      <w:pPr>
        <w:rPr>
          <w:sz w:val="18"/>
          <w:szCs w:val="18"/>
          <w:highlight w:val="none"/>
        </w:rPr>
      </w:pPr>
      <w:r>
        <w:rPr>
          <w:sz w:val="44"/>
        </w:rPr>
        <mc:AlternateContent>
          <mc:Choice Requires="wps">
            <w:drawing>
              <wp:anchor distT="0" distB="0" distL="114300" distR="114300" simplePos="0" relativeHeight="251700224" behindDoc="0" locked="0" layoutInCell="1" allowOverlap="1">
                <wp:simplePos x="0" y="0"/>
                <wp:positionH relativeFrom="column">
                  <wp:posOffset>-503555</wp:posOffset>
                </wp:positionH>
                <wp:positionV relativeFrom="paragraph">
                  <wp:posOffset>1201420</wp:posOffset>
                </wp:positionV>
                <wp:extent cx="466725" cy="782955"/>
                <wp:effectExtent l="0" t="0" r="9525" b="17145"/>
                <wp:wrapNone/>
                <wp:docPr id="14" name="文本框 14"/>
                <wp:cNvGraphicFramePr/>
                <a:graphic xmlns:a="http://schemas.openxmlformats.org/drawingml/2006/main">
                  <a:graphicData uri="http://schemas.microsoft.com/office/word/2010/wordprocessingShape">
                    <wps:wsp>
                      <wps:cNvSpPr txBox="true"/>
                      <wps:spPr>
                        <a:xfrm>
                          <a:off x="0" y="0"/>
                          <a:ext cx="466725" cy="78295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65pt;margin-top:94.6pt;height:61.65pt;width:36.75pt;z-index:251700224;mso-width-relative:page;mso-height-relative:page;" fillcolor="#FFFFFF" filled="t" stroked="f" coordsize="21600,21600" o:gfxdata="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0RqXw&#10;2QAAAAoBAAAPAAAAAAAAAAEAIAAAADgAAABkcnMvZG93bnJldi54bWxQSwECFAAUAAAACACHTuJA&#10;It9a9UMCAABkBAAADgAAAAAAAAABACAAAAA+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5</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251712512" behindDoc="0" locked="0" layoutInCell="1" allowOverlap="1">
                <wp:simplePos x="0" y="0"/>
                <wp:positionH relativeFrom="column">
                  <wp:posOffset>-520700</wp:posOffset>
                </wp:positionH>
                <wp:positionV relativeFrom="paragraph">
                  <wp:posOffset>-382905</wp:posOffset>
                </wp:positionV>
                <wp:extent cx="523875" cy="643890"/>
                <wp:effectExtent l="0" t="0" r="9525" b="3810"/>
                <wp:wrapNone/>
                <wp:docPr id="15" name="文本框 15"/>
                <wp:cNvGraphicFramePr/>
                <a:graphic xmlns:a="http://schemas.openxmlformats.org/drawingml/2006/main">
                  <a:graphicData uri="http://schemas.microsoft.com/office/word/2010/wordprocessingShape">
                    <wps:wsp>
                      <wps:cNvSpPr txBox="true"/>
                      <wps:spPr>
                        <a:xfrm>
                          <a:off x="0" y="0"/>
                          <a:ext cx="523875" cy="64389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pt;margin-top:-30.15pt;height:50.7pt;width:41.25pt;z-index:251712512;mso-width-relative:page;mso-height-relative:page;" fillcolor="#FFFFFF" filled="t" stroked="f" coordsize="21600,21600" o:gfxdata="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Mq1KCPX&#10;AAAABwEAAA8AAAAAAAAAAQAgAAAAOAAAAGRycy9kb3ducmV2LnhtbFBLAQIUABQAAAAIAIdO4kDP&#10;caLMRAIAAGQEAAAOAAAAAAAAAAEAIAAAADw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6</w:t>
                      </w:r>
                      <w:r>
                        <w:rPr>
                          <w:rStyle w:val="18"/>
                          <w:sz w:val="28"/>
                          <w:szCs w:val="28"/>
                        </w:rPr>
                        <w:t xml:space="preserve"> —</w:t>
                      </w:r>
                    </w:p>
                    <w:p>
                      <w:pPr>
                        <w:rPr>
                          <w:rFonts w:hint="default"/>
                          <w:lang w:val="en-US" w:eastAsia="zh-CN"/>
                        </w:rPr>
                      </w:pPr>
                    </w:p>
                  </w:txbxContent>
                </v:textbox>
              </v:shape>
            </w:pict>
          </mc:Fallback>
        </mc:AlternateContent>
      </w:r>
    </w:p>
    <w:p>
      <w:pPr>
        <w:rPr>
          <w:sz w:val="18"/>
          <w:szCs w:val="18"/>
          <w:highlight w:val="none"/>
        </w:rPr>
      </w:pPr>
    </w:p>
    <w:tbl>
      <w:tblPr>
        <w:tblStyle w:val="15"/>
        <w:tblW w:w="138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4737"/>
        <w:gridCol w:w="1044"/>
        <w:gridCol w:w="6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3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sz w:val="18"/>
                <w:szCs w:val="18"/>
                <w:highlight w:val="none"/>
                <w:lang w:val="en"/>
              </w:rPr>
            </w:pPr>
            <w:r>
              <w:rPr>
                <w:rFonts w:hint="default" w:ascii="仿宋_GB2312" w:hAnsi="仿宋_GB2312" w:eastAsia="仿宋_GB2312"/>
                <w:color w:val="000000"/>
                <w:sz w:val="18"/>
                <w:szCs w:val="18"/>
                <w:highlight w:val="none"/>
                <w:lang w:val="en"/>
              </w:rPr>
              <w:t>5</w:t>
            </w:r>
          </w:p>
        </w:tc>
        <w:tc>
          <w:tcPr>
            <w:tcW w:w="10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330280017001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621"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对人防工程设计单位未按照工程建设强制性标准进行设计的行政处罚（不含降低资质等级或者吊销资质证书的行政处罚）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22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621"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第六十三条 违反本条例规定，有下列行为之一的，责令改正，处10万元以上30万元以下的罚款：……（四）设计单位未按照工程建设强制性标准进行设计的。</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有前款所列行为，造成工程质量事故的，责令停业整顿，降低资质等级；情节严重的，吊销资质证书；造成损失的，依法承担赔偿责任。</w:t>
            </w:r>
          </w:p>
          <w:p>
            <w:pPr>
              <w:spacing w:line="240" w:lineRule="exact"/>
              <w:ind w:firstLine="360" w:firstLineChars="200"/>
              <w:jc w:val="left"/>
              <w:rPr>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621"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849"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2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违反强制性条款一条的。</w:t>
            </w:r>
          </w:p>
        </w:tc>
        <w:tc>
          <w:tcPr>
            <w:tcW w:w="1044"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违反强制性条款二条的。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违反强制性条款三条的。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违反强制性条款四条的。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37"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违反强制性条款五条以上的。</w:t>
            </w:r>
          </w:p>
        </w:tc>
        <w:tc>
          <w:tcPr>
            <w:tcW w:w="104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840"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18"/>
          <w:szCs w:val="18"/>
          <w:highlight w:val="none"/>
        </w:rPr>
        <w:br w:type="page"/>
      </w:r>
    </w:p>
    <w:p>
      <w:pPr>
        <w:pStyle w:val="2"/>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4558"/>
        <w:gridCol w:w="1031"/>
        <w:gridCol w:w="62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55"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sz w:val="18"/>
                <w:szCs w:val="18"/>
                <w:highlight w:val="none"/>
                <w:lang w:val="en"/>
              </w:rPr>
            </w:pPr>
            <w:r>
              <w:rPr>
                <w:rFonts w:hint="eastAsia" w:ascii="仿宋_GB2312" w:hAnsi="仿宋_GB2312" w:eastAsia="仿宋_GB2312"/>
                <w:color w:val="000000"/>
                <w:sz w:val="18"/>
                <w:szCs w:val="18"/>
                <w:highlight w:val="none"/>
                <w:lang w:val="en"/>
              </w:rPr>
              <w:t>６</w:t>
            </w:r>
          </w:p>
        </w:tc>
        <w:tc>
          <w:tcPr>
            <w:tcW w:w="1062"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455"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000000"/>
                <w:sz w:val="18"/>
                <w:szCs w:val="18"/>
                <w:highlight w:val="none"/>
              </w:rPr>
              <w:t>330280017002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72"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对人防工程勘察单位未按照工程建设强制性标准进行勘察的行政处罚（不含降低资质等级或者吊销资质证书的行政处罚）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7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第六十三条 违反本条例规定，有下列行为之一的，责令改正，处10万元以上30万元以下的罚款：（一）勘察单位未按照工程建设强制性标准进行勘察的；……</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有前款所列行为，造成工程质量事故的，责令停业整顿，降低资质等级；情节严重的，吊销资质证书；造成损失的，依法承担赔偿责任。</w:t>
            </w:r>
          </w:p>
          <w:p>
            <w:pPr>
              <w:autoSpaceDN w:val="0"/>
              <w:spacing w:line="240" w:lineRule="exact"/>
              <w:ind w:firstLine="360" w:firstLineChars="200"/>
              <w:textAlignment w:val="bottom"/>
              <w:rPr>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72"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210"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违反强制性条款一条的。</w:t>
            </w:r>
          </w:p>
        </w:tc>
        <w:tc>
          <w:tcPr>
            <w:tcW w:w="1062"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违反强制性条款二条的。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违反强制性条款三条的。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违反强制性条款四条的。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755" w:type="dxa"/>
            <w:noWrap w:val="0"/>
            <w:vAlign w:val="center"/>
          </w:tcPr>
          <w:p>
            <w:pPr>
              <w:widowControl/>
              <w:spacing w:line="240" w:lineRule="exact"/>
              <w:jc w:val="left"/>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违反强制性条款五条以上的。</w:t>
            </w:r>
          </w:p>
        </w:tc>
        <w:tc>
          <w:tcPr>
            <w:tcW w:w="1062"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45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44"/>
        </w:rPr>
        <mc:AlternateContent>
          <mc:Choice Requires="wps">
            <w:drawing>
              <wp:anchor distT="0" distB="0" distL="114300" distR="114300" simplePos="0" relativeHeight="251724800" behindDoc="0" locked="0" layoutInCell="1" allowOverlap="1">
                <wp:simplePos x="0" y="0"/>
                <wp:positionH relativeFrom="column">
                  <wp:posOffset>-417195</wp:posOffset>
                </wp:positionH>
                <wp:positionV relativeFrom="paragraph">
                  <wp:posOffset>291465</wp:posOffset>
                </wp:positionV>
                <wp:extent cx="443230" cy="631825"/>
                <wp:effectExtent l="0" t="0" r="13970" b="15875"/>
                <wp:wrapNone/>
                <wp:docPr id="16" name="文本框 16"/>
                <wp:cNvGraphicFramePr/>
                <a:graphic xmlns:a="http://schemas.openxmlformats.org/drawingml/2006/main">
                  <a:graphicData uri="http://schemas.microsoft.com/office/word/2010/wordprocessingShape">
                    <wps:wsp>
                      <wps:cNvSpPr txBox="true"/>
                      <wps:spPr>
                        <a:xfrm>
                          <a:off x="0" y="0"/>
                          <a:ext cx="443230" cy="631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7</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85pt;margin-top:22.95pt;height:49.75pt;width:34.9pt;z-index:251724800;mso-width-relative:page;mso-height-relative:page;" fillcolor="#FFFFFF" filled="t" stroked="f" coordsize="21600,21600" o:gfxdata="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rvhvZtcAAAAI&#10;AQAADwAAAAAAAAABACAAAAA4AAAAZHJzL2Rvd25yZXYueG1sUEsBAhQAFAAAAAgAh07iQKW5axxA&#10;AgAAZAQAAA4AAAAAAAAAAQAgAAAAPAEAAGRycy9lMm9Eb2MueG1sUEsFBgAAAAAGAAYAWQEAAO4F&#10;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7</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rPr>
          <w:sz w:val="18"/>
          <w:szCs w:val="18"/>
          <w:highlight w:val="none"/>
        </w:rPr>
      </w:pPr>
      <w:r>
        <w:rPr>
          <w:sz w:val="44"/>
        </w:rPr>
        <mc:AlternateContent>
          <mc:Choice Requires="wps">
            <w:drawing>
              <wp:anchor distT="0" distB="0" distL="114300" distR="114300" simplePos="0" relativeHeight="251737088" behindDoc="0" locked="0" layoutInCell="1" allowOverlap="1">
                <wp:simplePos x="0" y="0"/>
                <wp:positionH relativeFrom="column">
                  <wp:posOffset>-372745</wp:posOffset>
                </wp:positionH>
                <wp:positionV relativeFrom="paragraph">
                  <wp:posOffset>-231775</wp:posOffset>
                </wp:positionV>
                <wp:extent cx="361950" cy="654050"/>
                <wp:effectExtent l="0" t="0" r="0" b="12700"/>
                <wp:wrapNone/>
                <wp:docPr id="17" name="文本框 17"/>
                <wp:cNvGraphicFramePr/>
                <a:graphic xmlns:a="http://schemas.openxmlformats.org/drawingml/2006/main">
                  <a:graphicData uri="http://schemas.microsoft.com/office/word/2010/wordprocessingShape">
                    <wps:wsp>
                      <wps:cNvSpPr txBox="true"/>
                      <wps:spPr>
                        <a:xfrm>
                          <a:off x="0" y="0"/>
                          <a:ext cx="361950" cy="6540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8</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35pt;margin-top:-18.25pt;height:51.5pt;width:28.5pt;z-index:251737088;mso-width-relative:page;mso-height-relative:page;" fillcolor="#FFFFFF" filled="t" stroked="f" coordsize="21600,21600" o:gfxdata="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VDRuS1wAAAAkB&#10;AAAPAAAAAAAAAAEAIAAAADgAAABkcnMvZG93bnJldi54bWxQSwECFAAUAAAACACHTuJAGBgMPT8C&#10;AABkBAAADgAAAAAAAAABACAAAAA8AQAAZHJzL2Uyb0RvYy54bWxQSwUGAAAAAAYABgBZAQAA7QUA&#10;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8</w:t>
                      </w:r>
                      <w:r>
                        <w:rPr>
                          <w:rStyle w:val="18"/>
                          <w:sz w:val="28"/>
                          <w:szCs w:val="28"/>
                        </w:rPr>
                        <w:t xml:space="preserve"> —</w:t>
                      </w:r>
                    </w:p>
                    <w:p>
                      <w:pPr>
                        <w:rPr>
                          <w:rFonts w:hint="default"/>
                          <w:lang w:val="en-US" w:eastAsia="zh-CN"/>
                        </w:rPr>
                      </w:pPr>
                    </w:p>
                  </w:txbxContent>
                </v:textbox>
              </v:shape>
            </w:pict>
          </mc:Fallback>
        </mc:AlternateContent>
      </w:r>
    </w:p>
    <w:p>
      <w:pPr>
        <w:pStyle w:val="20"/>
        <w:rPr>
          <w:sz w:val="18"/>
          <w:szCs w:val="18"/>
          <w:highlight w:val="none"/>
        </w:rPr>
      </w:pPr>
    </w:p>
    <w:p>
      <w:pPr>
        <w:pStyle w:val="20"/>
        <w:rPr>
          <w:sz w:val="18"/>
          <w:szCs w:val="18"/>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4071"/>
        <w:gridCol w:w="949"/>
        <w:gridCol w:w="6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10"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44"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default"/>
                <w:sz w:val="18"/>
                <w:szCs w:val="18"/>
                <w:highlight w:val="none"/>
                <w:lang w:val="en"/>
              </w:rPr>
            </w:pPr>
            <w:r>
              <w:rPr>
                <w:rFonts w:hint="default" w:ascii="仿宋_GB2312" w:hAnsi="仿宋_GB2312" w:eastAsia="仿宋_GB2312" w:cs="黑体"/>
                <w:color w:val="000000"/>
                <w:sz w:val="18"/>
                <w:szCs w:val="18"/>
                <w:highlight w:val="none"/>
                <w:lang w:val="en" w:eastAsia="zh-CN"/>
              </w:rPr>
              <w:t>7</w:t>
            </w:r>
          </w:p>
        </w:tc>
        <w:tc>
          <w:tcPr>
            <w:tcW w:w="97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705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sz w:val="18"/>
                <w:szCs w:val="18"/>
                <w:highlight w:val="none"/>
              </w:rPr>
            </w:pPr>
            <w:r>
              <w:rPr>
                <w:rFonts w:hint="eastAsia" w:ascii="仿宋_GB2312" w:hAnsi="仿宋_GB2312" w:eastAsia="仿宋_GB2312"/>
                <w:color w:val="000000"/>
                <w:sz w:val="18"/>
                <w:szCs w:val="18"/>
                <w:highlight w:val="none"/>
              </w:rPr>
              <w:t>330280017003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72" w:type="dxa"/>
            <w:gridSpan w:val="3"/>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s="黑体"/>
                <w:color w:val="000000"/>
                <w:sz w:val="18"/>
                <w:szCs w:val="18"/>
                <w:highlight w:val="none"/>
              </w:rPr>
              <w:t>对人防工程设计单位未根据勘察成果文件进行工程设计或指定建筑材料、建筑构配件的生产厂、供应商的行政处罚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10"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7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auto"/>
              <w:rPr>
                <w:rFonts w:hint="eastAsia" w:ascii="仿宋_GB2312" w:hAnsi="仿宋_GB2312" w:eastAsia="仿宋_GB2312"/>
                <w:color w:val="000000"/>
                <w:sz w:val="18"/>
                <w:szCs w:val="18"/>
                <w:highlight w:val="none"/>
              </w:rPr>
            </w:pPr>
            <w:r>
              <w:rPr>
                <w:rFonts w:hint="eastAsia" w:ascii="仿宋_GB2312" w:hAnsi="仿宋_GB2312" w:eastAsia="仿宋_GB2312" w:cs="黑体"/>
                <w:color w:val="000000"/>
                <w:sz w:val="18"/>
                <w:szCs w:val="18"/>
                <w:highlight w:val="none"/>
              </w:rPr>
              <w:t>第六十三条 违反本条例规定，有下列行为之一的，责令改正，处10万元以上30万元以下的罚款：……（二）设计单位未根据勘察成果文件进行工程设计的；</w:t>
            </w:r>
            <w:r>
              <w:rPr>
                <w:rFonts w:hint="eastAsia" w:ascii="仿宋_GB2312" w:hAnsi="仿宋_GB2312" w:eastAsia="仿宋_GB2312" w:cs="黑体"/>
                <w:color w:val="000000"/>
                <w:sz w:val="18"/>
                <w:szCs w:val="18"/>
                <w:highlight w:val="none"/>
                <w:lang w:val="en-US" w:eastAsia="zh-CN"/>
              </w:rPr>
              <w:t>（三）设计单位指定建筑材料、建筑构配件的生产厂、供应商的；</w:t>
            </w:r>
            <w:r>
              <w:rPr>
                <w:rFonts w:hint="eastAsia" w:ascii="仿宋_GB2312" w:hAnsi="仿宋_GB2312" w:eastAsia="仿宋_GB2312"/>
                <w:color w:val="000000"/>
                <w:sz w:val="18"/>
                <w:szCs w:val="18"/>
                <w:highlight w:val="none"/>
              </w:rPr>
              <w:t>……</w:t>
            </w:r>
          </w:p>
          <w:p>
            <w:pPr>
              <w:autoSpaceDN w:val="0"/>
              <w:spacing w:line="240" w:lineRule="exact"/>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有前款所列行为，造成工程质量事故的，责令停业整顿，降低资质等级；情节严重的，吊销资质证书；造成损失的，依法承担赔偿责任。</w:t>
            </w:r>
          </w:p>
          <w:p>
            <w:pPr>
              <w:autoSpaceDN w:val="0"/>
              <w:spacing w:line="240" w:lineRule="exact"/>
              <w:ind w:firstLine="360" w:firstLineChars="200"/>
              <w:textAlignment w:val="bottom"/>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72"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rPr>
                <w:sz w:val="18"/>
                <w:szCs w:val="18"/>
                <w:highlight w:val="none"/>
              </w:rPr>
            </w:pPr>
            <w:r>
              <w:rPr>
                <w:rFonts w:hint="eastAsia" w:ascii="仿宋_GB2312" w:hAnsi="仿宋_GB2312" w:eastAsia="仿宋_GB2312"/>
                <w:color w:val="000000"/>
                <w:sz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10"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已设计</w:t>
            </w:r>
            <w:r>
              <w:rPr>
                <w:rFonts w:hint="eastAsia" w:ascii="仿宋_GB2312" w:hAnsi="仿宋_GB2312" w:eastAsia="仿宋_GB2312"/>
                <w:color w:val="000000"/>
                <w:sz w:val="18"/>
                <w:szCs w:val="18"/>
                <w:highlight w:val="none"/>
                <w:lang w:eastAsia="zh-CN"/>
              </w:rPr>
              <w:t>或指定</w:t>
            </w:r>
            <w:r>
              <w:rPr>
                <w:rFonts w:hint="eastAsia" w:ascii="仿宋_GB2312" w:hAnsi="仿宋_GB2312" w:eastAsia="仿宋_GB2312"/>
                <w:color w:val="000000"/>
                <w:sz w:val="18"/>
                <w:szCs w:val="18"/>
                <w:highlight w:val="none"/>
              </w:rPr>
              <w:t>但没有实施的。</w:t>
            </w:r>
          </w:p>
        </w:tc>
        <w:tc>
          <w:tcPr>
            <w:tcW w:w="976"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责令限期改正；处10万元至14万元的罚款；对单位直接负责的主管人员和其他直接责任人员处单位罚款数额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已实施但未造成质量事故的。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14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18</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已实施且造成一般质量事故的。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责令限期改正；处1</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已实施且造成严重质量事故的。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26</w:t>
            </w:r>
            <w:r>
              <w:rPr>
                <w:rFonts w:hint="eastAsia" w:ascii="仿宋_GB2312" w:hAnsi="仿宋_GB2312" w:eastAsia="仿宋_GB2312"/>
                <w:color w:val="000000"/>
                <w:sz w:val="18"/>
                <w:szCs w:val="18"/>
                <w:highlight w:val="none"/>
              </w:rPr>
              <w:t>万元的罚款；对单位直接负责的主管人员和其他直接责任人员处单位罚款数额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以上</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10"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44"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已实施且造成重大或特别重大质量事故的。</w:t>
            </w:r>
          </w:p>
        </w:tc>
        <w:tc>
          <w:tcPr>
            <w:tcW w:w="97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5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责令限期改正；处26万元至30万元的罚款；对单位直接负责的主管人员和其他直接责任人员处单位罚款数额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的罚款。</w:t>
            </w:r>
          </w:p>
        </w:tc>
      </w:tr>
    </w:tbl>
    <w:p>
      <w:pPr>
        <w:rPr>
          <w:sz w:val="18"/>
          <w:szCs w:val="18"/>
          <w:highlight w:val="none"/>
        </w:rPr>
      </w:pPr>
      <w:r>
        <w:rPr>
          <w:sz w:val="18"/>
          <w:szCs w:val="18"/>
          <w:highlight w:val="none"/>
        </w:rPr>
        <w:br w:type="page"/>
      </w:r>
    </w:p>
    <w:p>
      <w:pPr>
        <w:pStyle w:val="2"/>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4059"/>
        <w:gridCol w:w="943"/>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2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８</w:t>
            </w:r>
          </w:p>
        </w:tc>
        <w:tc>
          <w:tcPr>
            <w:tcW w:w="96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704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37"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对人防工程建设单位平时利用人防工程未办理登记手续的行政处罚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22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37" w:type="dxa"/>
            <w:gridSpan w:val="3"/>
            <w:noWrap w:val="0"/>
            <w:vAlign w:val="center"/>
          </w:tcPr>
          <w:p>
            <w:pPr>
              <w:autoSpaceDN w:val="0"/>
              <w:spacing w:line="24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第十九条  第三款平时利用其他人民防空工程，建设单位应当向人民防空主管部门办理登记手续。人民防空主管部门应当与建设单位签订人民防空工程使用和维护责任书，依法明确双方的权利和义务。</w:t>
            </w:r>
          </w:p>
          <w:p>
            <w:pPr>
              <w:autoSpaceDN w:val="0"/>
              <w:spacing w:line="24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2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37"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2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226"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建设单位未向人民防空主管部门办理登记手续的。</w:t>
            </w:r>
          </w:p>
        </w:tc>
        <w:tc>
          <w:tcPr>
            <w:tcW w:w="969"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4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22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26"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逾期未改正的。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可对个人处１千元+（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）×５百元罚款，最高不超过５千元；对单位处１万元+（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）×５千元罚款，最高不超过５万元。</w:t>
            </w:r>
          </w:p>
        </w:tc>
      </w:tr>
    </w:tbl>
    <w:p>
      <w:pPr>
        <w:rPr>
          <w:sz w:val="18"/>
          <w:szCs w:val="18"/>
          <w:highlight w:val="none"/>
        </w:rPr>
      </w:pPr>
      <w:r>
        <w:rPr>
          <w:sz w:val="44"/>
        </w:rPr>
        <mc:AlternateContent>
          <mc:Choice Requires="wps">
            <w:drawing>
              <wp:anchor distT="0" distB="0" distL="114300" distR="114300" simplePos="0" relativeHeight="269265920" behindDoc="0" locked="0" layoutInCell="1" allowOverlap="1">
                <wp:simplePos x="0" y="0"/>
                <wp:positionH relativeFrom="column">
                  <wp:posOffset>-494665</wp:posOffset>
                </wp:positionH>
                <wp:positionV relativeFrom="paragraph">
                  <wp:posOffset>1774190</wp:posOffset>
                </wp:positionV>
                <wp:extent cx="443230" cy="631825"/>
                <wp:effectExtent l="0" t="0" r="13970" b="15875"/>
                <wp:wrapNone/>
                <wp:docPr id="46" name="文本框 46"/>
                <wp:cNvGraphicFramePr/>
                <a:graphic xmlns:a="http://schemas.openxmlformats.org/drawingml/2006/main">
                  <a:graphicData uri="http://schemas.microsoft.com/office/word/2010/wordprocessingShape">
                    <wps:wsp>
                      <wps:cNvSpPr txBox="true"/>
                      <wps:spPr>
                        <a:xfrm>
                          <a:off x="0" y="0"/>
                          <a:ext cx="443230" cy="631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9</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95pt;margin-top:139.7pt;height:49.75pt;width:34.9pt;z-index:269265920;mso-width-relative:page;mso-height-relative:page;" fillcolor="#FFFFFF" filled="t" stroked="f" coordsize="21600,21600" o:gfxdata="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xYj9kA&#10;AAAKAQAADwAAAAAAAAABACAAAAA4AAAAZHJzL2Rvd25yZXYueG1sUEsBAhQAFAAAAAgAh07iQAa7&#10;T/ZBAgAAZAQAAA4AAAAAAAAAAQAgAAAAPg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9</w:t>
                      </w:r>
                      <w:r>
                        <w:rPr>
                          <w:rStyle w:val="18"/>
                          <w:sz w:val="28"/>
                          <w:szCs w:val="28"/>
                        </w:rPr>
                        <w:t xml:space="preserve"> —</w:t>
                      </w:r>
                    </w:p>
                    <w:p>
                      <w:pPr>
                        <w:rPr>
                          <w:rFonts w:hint="default"/>
                          <w:lang w:val="en-US" w:eastAsia="zh-CN"/>
                        </w:rPr>
                      </w:pPr>
                    </w:p>
                  </w:txbxContent>
                </v:textbox>
              </v:shape>
            </w:pict>
          </mc:Fallback>
        </mc:AlternateContent>
      </w:r>
      <w:r>
        <w:rPr>
          <w:sz w:val="44"/>
        </w:rPr>
        <mc:AlternateContent>
          <mc:Choice Requires="wps">
            <w:drawing>
              <wp:anchor distT="0" distB="0" distL="114300" distR="114300" simplePos="0" relativeHeight="251749376" behindDoc="0" locked="0" layoutInCell="1" allowOverlap="1">
                <wp:simplePos x="0" y="0"/>
                <wp:positionH relativeFrom="column">
                  <wp:posOffset>-420370</wp:posOffset>
                </wp:positionH>
                <wp:positionV relativeFrom="paragraph">
                  <wp:posOffset>2490470</wp:posOffset>
                </wp:positionV>
                <wp:extent cx="523875" cy="562610"/>
                <wp:effectExtent l="0" t="0" r="9525" b="8890"/>
                <wp:wrapNone/>
                <wp:docPr id="18" name="文本框 18"/>
                <wp:cNvGraphicFramePr/>
                <a:graphic xmlns:a="http://schemas.openxmlformats.org/drawingml/2006/main">
                  <a:graphicData uri="http://schemas.microsoft.com/office/word/2010/wordprocessingShape">
                    <wps:wsp>
                      <wps:cNvSpPr txBox="true"/>
                      <wps:spPr>
                        <a:xfrm>
                          <a:off x="0" y="0"/>
                          <a:ext cx="523875" cy="562610"/>
                        </a:xfrm>
                        <a:prstGeom prst="rect">
                          <a:avLst/>
                        </a:prstGeom>
                        <a:solidFill>
                          <a:srgbClr val="FFFFFF"/>
                        </a:solidFill>
                        <a:ln w="6350">
                          <a:noFill/>
                        </a:ln>
                        <a:effectLst/>
                      </wps:spPr>
                      <wps:txbx>
                        <w:txbxContent>
                          <w:p>
                            <w:pPr>
                              <w:rPr>
                                <w:rFonts w:hint="default" w:ascii="宋体" w:hAnsi="宋体" w:eastAsia="宋体" w:cs="宋体"/>
                                <w:sz w:val="28"/>
                                <w:szCs w:val="28"/>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1pt;margin-top:196.1pt;height:44.3pt;width:41.25pt;z-index:251749376;mso-width-relative:page;mso-height-relative:page;" fillcolor="#FFFFFF" filled="t" stroked="f" coordsize="21600,21600" o:gfxdata="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ynHA&#10;cdgAAAAKAQAADwAAAAAAAAABACAAAAA4AAAAZHJzL2Rvd25yZXYueG1sUEsBAhQAFAAAAAgAh07i&#10;QDafF8pFAgAAZAQAAA4AAAAAAAAAAQAgAAAAPQEAAGRycy9lMm9Eb2MueG1sUEsFBgAAAAAGAAYA&#10;WQEAAPQFAAAAAA==&#10;">
                <v:fill on="t" focussize="0,0"/>
                <v:stroke on="f" weight="0.5pt"/>
                <v:imagedata o:title=""/>
                <o:lock v:ext="edit" aspectratio="f"/>
                <v:textbox style="layout-flow:vertical-ideographic;">
                  <w:txbxContent>
                    <w:p>
                      <w:pPr>
                        <w:rPr>
                          <w:rFonts w:hint="default" w:ascii="宋体" w:hAnsi="宋体" w:eastAsia="宋体" w:cs="宋体"/>
                          <w:sz w:val="28"/>
                          <w:szCs w:val="28"/>
                          <w:lang w:val="en-US" w:eastAsia="zh-CN"/>
                        </w:rPr>
                      </w:pPr>
                    </w:p>
                  </w:txbxContent>
                </v:textbox>
              </v:shape>
            </w:pict>
          </mc:Fallback>
        </mc:AlternateContent>
      </w:r>
      <w:r>
        <w:rPr>
          <w:sz w:val="18"/>
          <w:szCs w:val="18"/>
          <w:highlight w:val="none"/>
        </w:rPr>
        <w:br w:type="page"/>
      </w:r>
    </w:p>
    <w:p>
      <w:pPr>
        <w:pStyle w:val="20"/>
        <w:rPr>
          <w:sz w:val="18"/>
          <w:szCs w:val="18"/>
          <w:highlight w:val="none"/>
        </w:rPr>
      </w:pPr>
      <w:r>
        <w:rPr>
          <w:sz w:val="44"/>
        </w:rPr>
        <mc:AlternateContent>
          <mc:Choice Requires="wps">
            <w:drawing>
              <wp:anchor distT="0" distB="0" distL="114300" distR="114300" simplePos="0" relativeHeight="263373824" behindDoc="0" locked="0" layoutInCell="1" allowOverlap="1">
                <wp:simplePos x="0" y="0"/>
                <wp:positionH relativeFrom="column">
                  <wp:posOffset>-471805</wp:posOffset>
                </wp:positionH>
                <wp:positionV relativeFrom="paragraph">
                  <wp:posOffset>-486410</wp:posOffset>
                </wp:positionV>
                <wp:extent cx="443230" cy="759460"/>
                <wp:effectExtent l="0" t="0" r="13970" b="2540"/>
                <wp:wrapNone/>
                <wp:docPr id="44" name="文本框 44"/>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 xml:space="preserve">10 </w:t>
                            </w:r>
                            <w:r>
                              <w:rPr>
                                <w:rStyle w:val="18"/>
                                <w:sz w:val="28"/>
                                <w:szCs w:val="28"/>
                              </w:rPr>
                              <w:t>—</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15pt;margin-top:-38.3pt;height:59.8pt;width:34.9pt;z-index:263373824;mso-width-relative:page;mso-height-relative:page;" fillcolor="#FFFFFF" filled="t" stroked="f" coordsize="21600,21600" o:gfxdata="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6Kjv0&#10;2AAAAAkBAAAPAAAAAAAAAAEAIAAAADgAAABkcnMvZG93bnJldi54bWxQSwECFAAUAAAACACHTuJA&#10;+DXH5UQCAABkBAAADgAAAAAAAAABACAAAAA9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 xml:space="preserve">10 </w:t>
                      </w:r>
                      <w:r>
                        <w:rPr>
                          <w:rStyle w:val="18"/>
                          <w:sz w:val="28"/>
                          <w:szCs w:val="28"/>
                        </w:rPr>
                        <w:t>—</w:t>
                      </w:r>
                    </w:p>
                    <w:p>
                      <w:pPr>
                        <w:rPr>
                          <w:rFonts w:hint="default"/>
                          <w:lang w:val="en-US" w:eastAsia="zh-CN"/>
                        </w:rPr>
                      </w:pPr>
                    </w:p>
                  </w:txbxContent>
                </v:textbox>
              </v:shape>
            </w:pict>
          </mc:Fallback>
        </mc:AlternateContent>
      </w:r>
    </w:p>
    <w:p>
      <w:pPr>
        <w:pStyle w:val="20"/>
        <w:rPr>
          <w:sz w:val="18"/>
          <w:szCs w:val="18"/>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4024"/>
        <w:gridCol w:w="943"/>
        <w:gridCol w:w="6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18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９</w:t>
            </w:r>
          </w:p>
        </w:tc>
        <w:tc>
          <w:tcPr>
            <w:tcW w:w="96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7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200"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对不按国家规定标准修建人防工程的行政处罚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6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200" w:type="dxa"/>
            <w:gridSpan w:val="3"/>
            <w:noWrap w:val="0"/>
            <w:vAlign w:val="center"/>
          </w:tcPr>
          <w:p>
            <w:pPr>
              <w:autoSpaceDN w:val="0"/>
              <w:spacing w:line="260" w:lineRule="exact"/>
              <w:ind w:firstLine="360"/>
              <w:textAlignment w:val="bottom"/>
              <w:rPr>
                <w:rFonts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 xml:space="preserve">第四十九条  </w:t>
            </w:r>
            <w:r>
              <w:rPr>
                <w:rFonts w:ascii="仿宋_GB2312" w:hAnsi="仿宋_GB2312" w:eastAsia="仿宋_GB2312"/>
                <w:color w:val="000000"/>
                <w:sz w:val="18"/>
                <w:szCs w:val="18"/>
                <w:highlight w:val="none"/>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仿宋_GB2312" w:hAnsi="仿宋_GB2312" w:eastAsia="仿宋_GB2312"/>
                <w:color w:val="000000"/>
                <w:sz w:val="18"/>
                <w:szCs w:val="18"/>
                <w:highlight w:val="none"/>
              </w:rPr>
              <w:t>……</w:t>
            </w:r>
            <w:r>
              <w:rPr>
                <w:rFonts w:ascii="仿宋_GB2312" w:hAnsi="仿宋_GB2312" w:eastAsia="仿宋_GB2312"/>
                <w:color w:val="000000"/>
                <w:sz w:val="18"/>
                <w:szCs w:val="18"/>
                <w:highlight w:val="none"/>
              </w:rPr>
              <w:t>（二）不按照国家规定的防护标准和质量标准修建人民防空工程的</w:t>
            </w:r>
            <w:r>
              <w:rPr>
                <w:rFonts w:hint="eastAsia" w:ascii="仿宋_GB2312" w:hAnsi="仿宋_GB2312" w:eastAsia="仿宋_GB2312"/>
                <w:color w:val="00000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6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200"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65"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有一处违反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有二处违反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有三处违反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有四处违反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26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189" w:type="dxa"/>
            <w:noWrap w:val="0"/>
            <w:vAlign w:val="center"/>
          </w:tcPr>
          <w:p>
            <w:pPr>
              <w:autoSpaceDN w:val="0"/>
              <w:spacing w:line="260" w:lineRule="exact"/>
              <w:jc w:val="lef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有五处以上违反</w:t>
            </w:r>
            <w:r>
              <w:rPr>
                <w:rFonts w:ascii="仿宋_GB2312" w:hAnsi="仿宋_GB2312" w:eastAsia="仿宋_GB2312"/>
                <w:color w:val="000000"/>
                <w:sz w:val="18"/>
                <w:szCs w:val="18"/>
                <w:highlight w:val="none"/>
              </w:rPr>
              <w:t>国家规定的防护标准和质量标准</w:t>
            </w:r>
            <w:r>
              <w:rPr>
                <w:rFonts w:hint="eastAsia" w:ascii="仿宋_GB2312" w:hAnsi="仿宋_GB2312" w:eastAsia="仿宋_GB2312"/>
                <w:color w:val="000000"/>
                <w:sz w:val="18"/>
                <w:szCs w:val="18"/>
                <w:highlight w:val="none"/>
              </w:rPr>
              <w:t>中的强制性条文的。</w:t>
            </w:r>
          </w:p>
        </w:tc>
        <w:tc>
          <w:tcPr>
            <w:tcW w:w="969"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042"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highlight w:val="none"/>
        </w:rPr>
      </w:pPr>
      <w:r>
        <w:rPr>
          <w:highlight w:val="none"/>
        </w:rPr>
        <w:br w:type="page"/>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4992"/>
        <w:gridCol w:w="267"/>
        <w:gridCol w:w="928"/>
        <w:gridCol w:w="5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5188"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10</w:t>
            </w:r>
          </w:p>
        </w:tc>
        <w:tc>
          <w:tcPr>
            <w:tcW w:w="1230" w:type="dxa"/>
            <w:gridSpan w:val="2"/>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63"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000000"/>
                <w:sz w:val="18"/>
                <w:szCs w:val="18"/>
                <w:highlight w:val="none"/>
              </w:rPr>
              <w:t>330280013000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81"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对拆除人防工程后拒不补建的行政处罚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81" w:type="dxa"/>
            <w:gridSpan w:val="4"/>
            <w:noWrap w:val="0"/>
            <w:vAlign w:val="center"/>
          </w:tcPr>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四十九条  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w:t>
            </w:r>
          </w:p>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第二十七条  人民防空工程经批准拆除的，拆除单位或者个人应当按照原工程面积及标准在规定期限内补建，其中拆除简易人民防空工程的，应当补建同面积六级人民防空工程；无法补建的，应当按照人民防空工程易地建设费标准支付人民防空工程补偿费，由人民防空主管部门统一组织建设。      </w:t>
            </w:r>
          </w:p>
          <w:p>
            <w:pPr>
              <w:autoSpaceDN w:val="0"/>
              <w:spacing w:line="260" w:lineRule="exact"/>
              <w:ind w:firstLine="36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autoSpaceDN w:val="0"/>
              <w:spacing w:line="260" w:lineRule="exact"/>
              <w:ind w:firstLine="360"/>
              <w:textAlignment w:val="bottom"/>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3.</w:t>
            </w:r>
            <w:r>
              <w:rPr>
                <w:rFonts w:hint="eastAsia" w:ascii="仿宋_GB2312" w:hAnsi="仿宋_GB2312" w:eastAsia="仿宋_GB2312"/>
                <w:b/>
                <w:bCs/>
                <w:color w:val="000000"/>
                <w:sz w:val="18"/>
                <w:szCs w:val="18"/>
                <w:highlight w:val="none"/>
              </w:rPr>
              <w:t>《浙江省人民防空工程管理办法》</w:t>
            </w:r>
          </w:p>
          <w:p>
            <w:pPr>
              <w:autoSpaceDN w:val="0"/>
              <w:spacing w:line="260" w:lineRule="exact"/>
              <w:ind w:firstLine="360"/>
              <w:textAlignment w:val="bottom"/>
              <w:rPr>
                <w:rFonts w:hint="eastAsia"/>
                <w:highlight w:val="none"/>
              </w:rPr>
            </w:pPr>
            <w:r>
              <w:rPr>
                <w:rFonts w:hint="eastAsia" w:ascii="仿宋_GB2312" w:hAnsi="仿宋_GB2312" w:eastAsia="仿宋_GB2312"/>
                <w:color w:val="000000"/>
                <w:sz w:val="18"/>
                <w:szCs w:val="18"/>
                <w:highlight w:val="none"/>
              </w:rPr>
              <w:t>第三十二条　人民防空工程因城镇建设确需拆除的，应当依法报人民防空主管部门批准。人民防空主管部门批准拆除的，拆除单位或者个人应当按照不少于拆除的人民防空工程建筑面积并不低于原防护标准，在规定期限内补建；无法按照规定要求补建的，应当依法缴纳人民防空工程补偿费，由人民防空主管部门组织易地补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81" w:type="dxa"/>
            <w:gridSpan w:val="4"/>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28" w:type="dxa"/>
            <w:gridSpan w:val="5"/>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7"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vertAlign w:val="baseline"/>
                <w:lang w:eastAsia="zh-CN"/>
              </w:rPr>
              <w:t>违法情节</w:t>
            </w: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拆除人防工程后拒不补建面积500平方米以下</w:t>
            </w:r>
            <w:r>
              <w:rPr>
                <w:rFonts w:hint="eastAsia" w:ascii="仿宋_GB2312" w:hAnsi="仿宋_GB2312" w:eastAsia="仿宋_GB2312"/>
                <w:color w:val="000000"/>
                <w:sz w:val="18"/>
                <w:lang w:eastAsia="zh-CN"/>
              </w:rPr>
              <w:t>的</w:t>
            </w:r>
            <w:r>
              <w:rPr>
                <w:rFonts w:hint="eastAsia" w:ascii="仿宋_GB2312" w:hAnsi="仿宋_GB2312" w:eastAsia="仿宋_GB2312"/>
                <w:color w:val="000000"/>
                <w:sz w:val="18"/>
              </w:rPr>
              <w:t>。</w:t>
            </w:r>
          </w:p>
        </w:tc>
        <w:tc>
          <w:tcPr>
            <w:tcW w:w="951"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vertAlign w:val="baseline"/>
                <w:lang w:eastAsia="zh-CN"/>
              </w:rPr>
              <w:t>处罚标准</w:t>
            </w: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拆除人防工程后拒不补建面积500平方米以上1000平方米以下的。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拆除人防工程后拒不补建面积1000平方米以上1500平方米以下的。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１</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拆除人防工程后拒不补建面积1500平方米以上2000平方米以下的。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２</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拆除人防工程后拒不补建面积2000平方米以上2500平方米以下</w:t>
            </w:r>
            <w:r>
              <w:rPr>
                <w:rFonts w:hint="eastAsia" w:ascii="仿宋_GB2312" w:hAnsi="仿宋_GB2312" w:eastAsia="仿宋_GB2312"/>
                <w:color w:val="000000"/>
                <w:sz w:val="18"/>
                <w:szCs w:val="18"/>
                <w:lang w:val="en-US" w:eastAsia="zh-CN"/>
              </w:rPr>
              <w:t>的</w:t>
            </w:r>
            <w:r>
              <w:rPr>
                <w:rFonts w:hint="eastAsia" w:ascii="仿宋_GB2312" w:hAnsi="仿宋_GB2312" w:eastAsia="仿宋_GB2312"/>
                <w:color w:val="000000"/>
                <w:sz w:val="18"/>
              </w:rPr>
              <w:t>。</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３</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47"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467" w:type="dxa"/>
            <w:gridSpan w:val="2"/>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rPr>
              <w:t>拆除人防工程后拒不补建面积2500平方米以上的。</w:t>
            </w:r>
          </w:p>
        </w:tc>
        <w:tc>
          <w:tcPr>
            <w:tcW w:w="951"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bottom"/>
              <w:rPr>
                <w:rFonts w:hint="eastAsia" w:ascii="仿宋_GB2312" w:hAnsi="仿宋_GB2312" w:eastAsia="仿宋_GB2312"/>
                <w:color w:val="000000"/>
                <w:sz w:val="18"/>
                <w:szCs w:val="18"/>
                <w:highlight w:val="none"/>
              </w:rPr>
            </w:pPr>
          </w:p>
        </w:tc>
        <w:tc>
          <w:tcPr>
            <w:tcW w:w="596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24"/>
                <w:highlight w:val="none"/>
              </w:rPr>
            </w:pPr>
            <w:r>
              <w:rPr>
                <w:rFonts w:hint="eastAsia" w:ascii="仿宋_GB2312" w:hAnsi="仿宋_GB2312" w:eastAsia="仿宋_GB2312"/>
                <w:color w:val="000000"/>
                <w:sz w:val="18"/>
                <w:szCs w:val="18"/>
                <w:highlight w:val="none"/>
              </w:rPr>
              <w:t>给予警告；责令限期改正；对个人处</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千元至</w:t>
            </w:r>
            <w:r>
              <w:rPr>
                <w:rFonts w:hint="eastAsia" w:ascii="仿宋_GB2312" w:hAnsi="仿宋_GB2312" w:eastAsia="仿宋_GB2312"/>
                <w:color w:val="000000"/>
                <w:sz w:val="18"/>
                <w:szCs w:val="18"/>
                <w:highlight w:val="none"/>
                <w:lang w:eastAsia="zh-CN"/>
              </w:rPr>
              <w:t>５</w:t>
            </w:r>
            <w:r>
              <w:rPr>
                <w:rFonts w:hint="eastAsia" w:ascii="仿宋_GB2312" w:hAnsi="仿宋_GB2312" w:eastAsia="仿宋_GB2312"/>
                <w:color w:val="000000"/>
                <w:sz w:val="18"/>
                <w:szCs w:val="18"/>
                <w:highlight w:val="none"/>
              </w:rPr>
              <w:t>千元罚款，对单位处</w:t>
            </w:r>
            <w:r>
              <w:rPr>
                <w:rFonts w:hint="eastAsia" w:ascii="仿宋_GB2312" w:hAnsi="仿宋_GB2312" w:eastAsia="仿宋_GB2312"/>
                <w:color w:val="000000"/>
                <w:sz w:val="18"/>
                <w:szCs w:val="18"/>
                <w:highlight w:val="none"/>
                <w:lang w:eastAsia="zh-CN"/>
              </w:rPr>
              <w:t>４</w:t>
            </w:r>
            <w:r>
              <w:rPr>
                <w:rFonts w:hint="eastAsia" w:ascii="仿宋_GB2312" w:hAnsi="仿宋_GB2312" w:eastAsia="仿宋_GB2312"/>
                <w:color w:val="000000"/>
                <w:sz w:val="18"/>
                <w:szCs w:val="18"/>
                <w:highlight w:val="none"/>
              </w:rPr>
              <w:t>万元至</w:t>
            </w:r>
            <w:r>
              <w:rPr>
                <w:rFonts w:hint="eastAsia" w:ascii="仿宋_GB2312" w:hAnsi="仿宋_GB2312" w:eastAsia="仿宋_GB2312"/>
                <w:color w:val="000000"/>
                <w:sz w:val="18"/>
                <w:szCs w:val="18"/>
                <w:highlight w:val="none"/>
                <w:lang w:eastAsia="zh-CN"/>
              </w:rPr>
              <w:t>５</w:t>
            </w:r>
            <w:r>
              <w:rPr>
                <w:rFonts w:hint="eastAsia" w:ascii="仿宋_GB2312" w:hAnsi="仿宋_GB2312" w:eastAsia="仿宋_GB2312"/>
                <w:color w:val="000000"/>
                <w:sz w:val="18"/>
                <w:szCs w:val="18"/>
                <w:highlight w:val="none"/>
              </w:rPr>
              <w:t>万元罚款。</w:t>
            </w:r>
          </w:p>
        </w:tc>
      </w:tr>
    </w:tbl>
    <w:p>
      <w:pPr>
        <w:rPr>
          <w:highlight w:val="none"/>
        </w:rPr>
      </w:pPr>
      <w:r>
        <w:rPr>
          <w:sz w:val="44"/>
        </w:rPr>
        <mc:AlternateContent>
          <mc:Choice Requires="wps">
            <w:drawing>
              <wp:anchor distT="0" distB="0" distL="114300" distR="114300" simplePos="0" relativeHeight="269333504" behindDoc="0" locked="0" layoutInCell="1" allowOverlap="1">
                <wp:simplePos x="0" y="0"/>
                <wp:positionH relativeFrom="column">
                  <wp:posOffset>-467360</wp:posOffset>
                </wp:positionH>
                <wp:positionV relativeFrom="paragraph">
                  <wp:posOffset>243205</wp:posOffset>
                </wp:positionV>
                <wp:extent cx="443230" cy="747395"/>
                <wp:effectExtent l="0" t="0" r="13970" b="14605"/>
                <wp:wrapNone/>
                <wp:docPr id="47" name="文本框 47"/>
                <wp:cNvGraphicFramePr/>
                <a:graphic xmlns:a="http://schemas.openxmlformats.org/drawingml/2006/main">
                  <a:graphicData uri="http://schemas.microsoft.com/office/word/2010/wordprocessingShape">
                    <wps:wsp>
                      <wps:cNvSpPr txBox="true"/>
                      <wps:spPr>
                        <a:xfrm>
                          <a:off x="0" y="0"/>
                          <a:ext cx="443230" cy="7473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11</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8pt;margin-top:19.15pt;height:58.85pt;width:34.9pt;z-index:269333504;mso-width-relative:page;mso-height-relative:page;" fillcolor="#FFFFFF" filled="t" stroked="f" coordsize="21600,21600" o:gfxdata="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N3FkZtcA&#10;AAAJAQAADwAAAAAAAAABACAAAAA4AAAAZHJzL2Rvd25yZXYueG1sUEsBAhQAFAAAAAgAh07iQCFM&#10;lBV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11</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sz w:val="44"/>
        </w:rPr>
        <mc:AlternateContent>
          <mc:Choice Requires="wps">
            <w:drawing>
              <wp:anchor distT="0" distB="0" distL="114300" distR="114300" simplePos="0" relativeHeight="269401088" behindDoc="0" locked="0" layoutInCell="1" allowOverlap="1">
                <wp:simplePos x="0" y="0"/>
                <wp:positionH relativeFrom="column">
                  <wp:posOffset>-523875</wp:posOffset>
                </wp:positionH>
                <wp:positionV relativeFrom="paragraph">
                  <wp:posOffset>-227330</wp:posOffset>
                </wp:positionV>
                <wp:extent cx="443230" cy="759460"/>
                <wp:effectExtent l="0" t="0" r="13970" b="2540"/>
                <wp:wrapNone/>
                <wp:docPr id="48" name="文本框 48"/>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12</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25pt;margin-top:-17.9pt;height:59.8pt;width:34.9pt;z-index:269401088;mso-width-relative:page;mso-height-relative:page;" fillcolor="#FFFFFF" filled="t" stroked="f" coordsize="21600,21600" o:gfxdata="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IOj+&#10;0NkAAAAKAQAADwAAAAAAAAABACAAAAA4AAAAZHJzL2Rvd25yZXYueG1sUEsBAhQAFAAAAAgAh07i&#10;QEnqu31EAgAAZAQAAA4AAAAAAAAAAQAgAAAAPgEAAGRycy9lMm9Eb2MueG1sUEsFBgAAAAAGAAYA&#10;WQEAAPQ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12</w:t>
                      </w:r>
                      <w:r>
                        <w:rPr>
                          <w:rStyle w:val="18"/>
                          <w:sz w:val="28"/>
                          <w:szCs w:val="28"/>
                        </w:rPr>
                        <w:t xml:space="preserve"> —</w:t>
                      </w:r>
                    </w:p>
                    <w:p>
                      <w:pPr>
                        <w:rPr>
                          <w:rFonts w:hint="default"/>
                          <w:lang w:val="en-US" w:eastAsia="zh-CN"/>
                        </w:rPr>
                      </w:pPr>
                    </w:p>
                  </w:txbxContent>
                </v:textbox>
              </v:shape>
            </w:pict>
          </mc:Fallback>
        </mc:AlternateContent>
      </w:r>
    </w:p>
    <w:p>
      <w:pPr>
        <w:rPr>
          <w:highlight w:val="none"/>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5191"/>
        <w:gridCol w:w="978"/>
        <w:gridCol w:w="5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11</w:t>
            </w:r>
          </w:p>
        </w:tc>
        <w:tc>
          <w:tcPr>
            <w:tcW w:w="100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00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330280011000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18"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对人防工程建设单位未办理人防工程竣工验收备案的行政处罚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18"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第四十九条  建设单位应当自建设工程竣工验收合格之日起15日内，将建设工程竣工验收报告和规划、公安消防、环保等部门出具的认可文件或者准许使用文件报建设行政主管部门或者其他有关部门备案。</w:t>
            </w:r>
          </w:p>
          <w:p>
            <w:pPr>
              <w:autoSpaceDN w:val="0"/>
              <w:spacing w:line="240" w:lineRule="exact"/>
              <w:ind w:firstLine="360" w:firstLineChars="200"/>
              <w:textAlignment w:val="bottom"/>
              <w:rPr>
                <w:rFonts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第五十六条  违反本条例规定，建设单位有下列行为之一的，责令改正，处20万元以上50万元以下的罚款……（八）未按照国家规定将竣工验收报告、有关认可文件或者准许使用文件报送备案的。</w:t>
            </w:r>
          </w:p>
          <w:p>
            <w:pPr>
              <w:autoSpaceDN w:val="0"/>
              <w:spacing w:line="200" w:lineRule="exact"/>
              <w:ind w:firstLine="360" w:firstLineChars="200"/>
              <w:textAlignment w:val="center"/>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18"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65"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47"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未造成质量事故的。</w:t>
            </w:r>
          </w:p>
        </w:tc>
        <w:tc>
          <w:tcPr>
            <w:tcW w:w="1006" w:type="dxa"/>
            <w:vMerge w:val="restart"/>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责令限期改正；处20万元至26万元的罚款；对单位直接负责的主管人员和其他直接责任人员处单位罚款数额5%至6%的罚款。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造成一般质量事故的。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责令限期改正；处26万元至32万元的罚款；对单位直接负责的主管人员和其他直接责任人员处单位罚款数额6%至7%的罚款。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造成严重质量事故的。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责令限期改正；处32万元至38万元的罚款；对单位直接负责的主管人员和其他直接责任人员处单位罚款数额7%至8%的罚款。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造成重大质量事故的。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责令限期改正；处38万元至44万元的罚款；对单位直接负责的主管人员和其他直接责任人员处单位罚款数额8%至9%的罚款。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4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2"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造成特别重大质量事故的。</w:t>
            </w:r>
          </w:p>
        </w:tc>
        <w:tc>
          <w:tcPr>
            <w:tcW w:w="1006" w:type="dxa"/>
            <w:vMerge w:val="continue"/>
            <w:noWrap w:val="0"/>
            <w:vAlign w:val="center"/>
          </w:tcPr>
          <w:p>
            <w:pPr>
              <w:autoSpaceDN w:val="0"/>
              <w:spacing w:line="240" w:lineRule="exact"/>
              <w:ind w:firstLine="360" w:firstLineChars="200"/>
              <w:textAlignment w:val="bottom"/>
              <w:rPr>
                <w:rFonts w:hint="eastAsia" w:ascii="仿宋_GB2312" w:hAnsi="仿宋_GB2312" w:eastAsia="仿宋_GB2312"/>
                <w:color w:val="000000"/>
                <w:sz w:val="18"/>
                <w:szCs w:val="18"/>
                <w:highlight w:val="none"/>
              </w:rPr>
            </w:pPr>
          </w:p>
        </w:tc>
        <w:tc>
          <w:tcPr>
            <w:tcW w:w="6000" w:type="dxa"/>
            <w:noWrap w:val="0"/>
            <w:vAlign w:val="center"/>
          </w:tcPr>
          <w:p>
            <w:pPr>
              <w:autoSpaceDN w:val="0"/>
              <w:spacing w:line="240" w:lineRule="exac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责令限期改正；处44万元至50万元的罚款；对单位直接负责的主管人员和其他直接责任人员处单位罚款数额9%至10%的罚款。</w:t>
            </w:r>
          </w:p>
        </w:tc>
      </w:tr>
    </w:tbl>
    <w:p>
      <w:pPr>
        <w:rPr>
          <w:sz w:val="18"/>
          <w:szCs w:val="18"/>
          <w:highlight w:val="none"/>
        </w:rPr>
      </w:pPr>
    </w:p>
    <w:p>
      <w:pPr>
        <w:pStyle w:val="2"/>
        <w:ind w:left="840" w:hanging="420"/>
        <w:rPr>
          <w:highlight w:val="none"/>
        </w:rPr>
      </w:pPr>
    </w:p>
    <w:p>
      <w:pPr>
        <w:pStyle w:val="2"/>
        <w:ind w:left="780" w:hanging="360"/>
        <w:rPr>
          <w:sz w:val="18"/>
          <w:szCs w:val="18"/>
          <w:highlight w:val="none"/>
        </w:rPr>
      </w:pPr>
    </w:p>
    <w:tbl>
      <w:tblPr>
        <w:tblStyle w:val="15"/>
        <w:tblW w:w="134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5416"/>
        <w:gridCol w:w="1024"/>
        <w:gridCol w:w="6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2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sz w:val="18"/>
                <w:szCs w:val="18"/>
                <w:highlight w:val="none"/>
                <w:lang w:val="en"/>
              </w:rPr>
              <w:t>12</w:t>
            </w:r>
          </w:p>
        </w:tc>
        <w:tc>
          <w:tcPr>
            <w:tcW w:w="102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601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仿宋_GB2312" w:hAnsi="仿宋_GB2312" w:eastAsia="仿宋_GB2312"/>
                <w:sz w:val="18"/>
                <w:szCs w:val="18"/>
                <w:highlight w:val="none"/>
              </w:rPr>
              <w:t>330280010000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58" w:type="dxa"/>
            <w:gridSpan w:val="3"/>
            <w:noWrap w:val="0"/>
            <w:vAlign w:val="center"/>
          </w:tcPr>
          <w:p>
            <w:pPr>
              <w:autoSpaceDN w:val="0"/>
              <w:spacing w:line="240" w:lineRule="exact"/>
              <w:jc w:val="left"/>
              <w:textAlignment w:val="bottom"/>
              <w:rPr>
                <w:rFonts w:hint="eastAsia" w:ascii="仿宋_GB2312" w:hAnsi="仿宋_GB2312" w:eastAsia="仿宋_GB2312" w:cs="Times New Roman"/>
                <w:b/>
                <w:sz w:val="18"/>
                <w:szCs w:val="18"/>
                <w:highlight w:val="none"/>
              </w:rPr>
            </w:pPr>
            <w:r>
              <w:rPr>
                <w:rFonts w:hint="eastAsia" w:ascii="仿宋_GB2312" w:hAnsi="仿宋_GB2312" w:eastAsia="仿宋_GB2312"/>
                <w:sz w:val="18"/>
                <w:szCs w:val="18"/>
                <w:highlight w:val="none"/>
              </w:rPr>
              <w:t>对人防工程施工单位不履行人防工程保修义务或者拖延履行保修义务的行政处罚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58" w:type="dxa"/>
            <w:gridSpan w:val="3"/>
            <w:noWrap w:val="0"/>
            <w:vAlign w:val="center"/>
          </w:tcPr>
          <w:p>
            <w:pPr>
              <w:autoSpaceDN w:val="0"/>
              <w:spacing w:line="200" w:lineRule="exact"/>
              <w:ind w:firstLine="361" w:firstLineChars="200"/>
              <w:textAlignment w:val="center"/>
              <w:rPr>
                <w:rFonts w:hint="eastAsia" w:ascii="仿宋_GB2312" w:hAnsi="仿宋_GB2312" w:eastAsia="仿宋_GB2312"/>
                <w:b/>
                <w:bCs/>
                <w:sz w:val="18"/>
                <w:szCs w:val="18"/>
                <w:highlight w:val="none"/>
              </w:rPr>
            </w:pPr>
            <w:r>
              <w:rPr>
                <w:rFonts w:hint="eastAsia" w:ascii="仿宋_GB2312" w:hAnsi="仿宋_GB2312" w:eastAsia="仿宋_GB2312"/>
                <w:b/>
                <w:bCs/>
                <w:sz w:val="18"/>
                <w:szCs w:val="18"/>
                <w:highlight w:val="none"/>
              </w:rPr>
              <w:t>《建设工程质量管理条例》</w:t>
            </w:r>
          </w:p>
          <w:p>
            <w:pPr>
              <w:autoSpaceDN w:val="0"/>
              <w:spacing w:line="200" w:lineRule="exact"/>
              <w:ind w:firstLine="360" w:firstLineChars="200"/>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第六十六条  违反本条例规定，施工单位不履行保修义务或者拖延履行保修义务的，责令改正，处10万元以上20万元以下的罚款，并对在保修期内因质量缺陷造成的损失承担赔偿责任。</w:t>
            </w:r>
          </w:p>
          <w:p>
            <w:pPr>
              <w:autoSpaceDN w:val="0"/>
              <w:spacing w:line="260" w:lineRule="exact"/>
              <w:ind w:firstLine="360"/>
              <w:textAlignment w:val="bottom"/>
              <w:rPr>
                <w:rFonts w:hint="eastAsia" w:ascii="仿宋_GB2312" w:hAnsi="仿宋_GB2312" w:eastAsia="仿宋_GB2312" w:cs="Times New Roman"/>
                <w:b/>
                <w:sz w:val="18"/>
                <w:szCs w:val="18"/>
                <w:highlight w:val="none"/>
              </w:rPr>
            </w:pPr>
            <w:r>
              <w:rPr>
                <w:rFonts w:hint="eastAsia" w:ascii="仿宋_GB2312" w:hAnsi="仿宋_GB2312" w:eastAsia="仿宋_GB2312"/>
                <w:sz w:val="18"/>
                <w:szCs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58"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83"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02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不履行保修义务或者拖延履行保修义务3个月以下的</w:t>
            </w:r>
            <w:r>
              <w:rPr>
                <w:rFonts w:hint="eastAsia" w:ascii="仿宋_GB2312" w:hAnsi="仿宋_GB2312" w:eastAsia="仿宋_GB2312" w:cs="宋体"/>
                <w:kern w:val="0"/>
                <w:sz w:val="18"/>
                <w:szCs w:val="18"/>
                <w:highlight w:val="none"/>
              </w:rPr>
              <w:t>。</w:t>
            </w:r>
          </w:p>
        </w:tc>
        <w:tc>
          <w:tcPr>
            <w:tcW w:w="1024" w:type="dxa"/>
            <w:vMerge w:val="restart"/>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r>
              <w:rPr>
                <w:rFonts w:hint="eastAsia" w:ascii="方正黑体_GBK" w:hAnsi="方正黑体_GBK" w:eastAsia="方正黑体_GBK" w:cs="方正黑体_GBK"/>
                <w:sz w:val="18"/>
                <w:szCs w:val="18"/>
                <w:highlight w:val="none"/>
              </w:rPr>
              <w:t>处罚标准</w:t>
            </w: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责令限期改正；处10万元至13万元的罚款；对单位直接负责的主管人员和其他直接责任人员处单位罚款数额5%至6.6%的罚款。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不履行保修义务或者拖延履行保修义务3个月以上6个月以下的</w:t>
            </w:r>
            <w:r>
              <w:rPr>
                <w:rFonts w:hint="eastAsia" w:ascii="仿宋_GB2312" w:hAnsi="仿宋_GB2312" w:eastAsia="仿宋_GB2312" w:cs="宋体"/>
                <w:kern w:val="0"/>
                <w:sz w:val="18"/>
                <w:szCs w:val="18"/>
                <w:highlight w:val="none"/>
              </w:rPr>
              <w:t>。</w:t>
            </w:r>
          </w:p>
        </w:tc>
        <w:tc>
          <w:tcPr>
            <w:tcW w:w="1024"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责令限期改正；处13万元至17万元的罚款；对单位直接负责的主管人员和其他直接责任人员处单位罚款数额6.6%至8.4%的罚款。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5416" w:type="dxa"/>
            <w:noWrap w:val="0"/>
            <w:vAlign w:val="center"/>
          </w:tcPr>
          <w:p>
            <w:pPr>
              <w:widowControl/>
              <w:spacing w:line="240" w:lineRule="exact"/>
              <w:jc w:val="lef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不履行保修义务或者拖延履行保修义务6个月以上的</w:t>
            </w:r>
            <w:r>
              <w:rPr>
                <w:rFonts w:hint="eastAsia" w:ascii="仿宋_GB2312" w:hAnsi="仿宋_GB2312" w:eastAsia="仿宋_GB2312" w:cs="宋体"/>
                <w:kern w:val="0"/>
                <w:sz w:val="18"/>
                <w:szCs w:val="18"/>
                <w:highlight w:val="none"/>
              </w:rPr>
              <w:t>。</w:t>
            </w:r>
          </w:p>
        </w:tc>
        <w:tc>
          <w:tcPr>
            <w:tcW w:w="1024" w:type="dxa"/>
            <w:vMerge w:val="continue"/>
            <w:noWrap w:val="0"/>
            <w:vAlign w:val="center"/>
          </w:tcPr>
          <w:p>
            <w:pPr>
              <w:autoSpaceDN w:val="0"/>
              <w:spacing w:line="240" w:lineRule="exact"/>
              <w:jc w:val="left"/>
              <w:textAlignment w:val="bottom"/>
              <w:rPr>
                <w:rFonts w:hint="eastAsia" w:ascii="仿宋_GB2312" w:hAnsi="仿宋_GB2312" w:eastAsia="仿宋_GB2312"/>
                <w:sz w:val="18"/>
                <w:szCs w:val="18"/>
                <w:highlight w:val="none"/>
              </w:rPr>
            </w:pPr>
          </w:p>
        </w:tc>
        <w:tc>
          <w:tcPr>
            <w:tcW w:w="6018" w:type="dxa"/>
            <w:noWrap w:val="0"/>
            <w:vAlign w:val="center"/>
          </w:tcPr>
          <w:p>
            <w:pPr>
              <w:autoSpaceDN w:val="0"/>
              <w:spacing w:line="240" w:lineRule="exact"/>
              <w:textAlignment w:val="center"/>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责令限期改正；处17万元至20万元的罚款；对单位直接负责的主管人员和其他直接责任人员处单位罚款数额8.4%至10%的罚款。</w:t>
            </w:r>
          </w:p>
        </w:tc>
      </w:tr>
    </w:tbl>
    <w:p>
      <w:pPr>
        <w:rPr>
          <w:sz w:val="18"/>
          <w:szCs w:val="18"/>
          <w:highlight w:val="none"/>
        </w:rPr>
      </w:pPr>
      <w:r>
        <w:rPr>
          <w:sz w:val="44"/>
        </w:rPr>
        <mc:AlternateContent>
          <mc:Choice Requires="wps">
            <w:drawing>
              <wp:anchor distT="0" distB="0" distL="114300" distR="114300" simplePos="0" relativeHeight="269468672" behindDoc="0" locked="0" layoutInCell="1" allowOverlap="1">
                <wp:simplePos x="0" y="0"/>
                <wp:positionH relativeFrom="column">
                  <wp:posOffset>-442595</wp:posOffset>
                </wp:positionH>
                <wp:positionV relativeFrom="paragraph">
                  <wp:posOffset>894715</wp:posOffset>
                </wp:positionV>
                <wp:extent cx="443230" cy="793750"/>
                <wp:effectExtent l="0" t="0" r="13970" b="6350"/>
                <wp:wrapNone/>
                <wp:docPr id="49" name="文本框 49"/>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85pt;margin-top:70.45pt;height:62.5pt;width:34.9pt;z-index:269468672;mso-width-relative:page;mso-height-relative:page;" fillcolor="#FFFFFF" filled="t" stroked="f" coordsize="21600,21600" o:gfxdata="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hba7g1gAA&#10;AAgBAAAPAAAAAAAAAAEAIAAAADgAAABkcnMvZG93bnJldi54bWxQSwECFAAUAAAACACHTuJAWvsJ&#10;J0MCAABkBAAADgAAAAAAAAABACAAAAA7AQAAZHJzL2Uyb0RvYy54bWxQSwUGAAAAAAYABgBZAQAA&#10;8A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13</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287280128" behindDoc="0" locked="0" layoutInCell="1" allowOverlap="1">
                <wp:simplePos x="0" y="0"/>
                <wp:positionH relativeFrom="column">
                  <wp:posOffset>-491490</wp:posOffset>
                </wp:positionH>
                <wp:positionV relativeFrom="paragraph">
                  <wp:posOffset>-370840</wp:posOffset>
                </wp:positionV>
                <wp:extent cx="443230" cy="793750"/>
                <wp:effectExtent l="0" t="0" r="13970" b="6350"/>
                <wp:wrapNone/>
                <wp:docPr id="50" name="文本框 50"/>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7pt;margin-top:-29.2pt;height:62.5pt;width:34.9pt;z-index:287280128;mso-width-relative:page;mso-height-relative:page;" fillcolor="#FFFFFF" filled="t" stroked="f" coordsize="21600,21600" o:gfxdata="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KhKTNnXAAAA&#10;CQEAAA8AAAAAAAAAAQAgAAAAOAAAAGRycy9kb3ducmV2LnhtbFBLAQIUABQAAAAIAIdO4kCP6b7P&#10;QQIAAGQEAAAOAAAAAAAAAAEAIAAAADwBAABkcnMvZTJvRG9jLnhtbFBLBQYAAAAABgAGAFkBAADv&#10;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14</w:t>
                      </w:r>
                      <w:r>
                        <w:rPr>
                          <w:rStyle w:val="18"/>
                          <w:sz w:val="28"/>
                          <w:szCs w:val="28"/>
                        </w:rPr>
                        <w:t xml:space="preserve"> —</w:t>
                      </w:r>
                    </w:p>
                    <w:p>
                      <w:pPr>
                        <w:rPr>
                          <w:rFonts w:hint="default"/>
                          <w:lang w:val="en-US" w:eastAsia="zh-CN"/>
                        </w:rPr>
                      </w:pPr>
                    </w:p>
                  </w:txbxContent>
                </v:textbox>
              </v:shape>
            </w:pict>
          </mc:Fallback>
        </mc:AlternateContent>
      </w:r>
    </w:p>
    <w:p>
      <w:pPr>
        <w:pStyle w:val="20"/>
      </w:pPr>
    </w:p>
    <w:tbl>
      <w:tblPr>
        <w:tblStyle w:val="15"/>
        <w:tblW w:w="135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5416"/>
        <w:gridCol w:w="987"/>
        <w:gridCol w:w="6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25"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6"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13</w:t>
            </w:r>
          </w:p>
        </w:tc>
        <w:tc>
          <w:tcPr>
            <w:tcW w:w="98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0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330280008000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77"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对侵占人防工程的行政处罚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25"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77" w:type="dxa"/>
            <w:gridSpan w:val="3"/>
            <w:noWrap w:val="0"/>
            <w:vAlign w:val="center"/>
          </w:tcPr>
          <w:p>
            <w:pPr>
              <w:autoSpaceDN w:val="0"/>
              <w:spacing w:line="240" w:lineRule="exact"/>
              <w:ind w:firstLine="361" w:firstLineChars="200"/>
              <w:jc w:val="left"/>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《中华人民共和国人民防空法》</w:t>
            </w:r>
          </w:p>
          <w:p>
            <w:pPr>
              <w:autoSpaceDN w:val="0"/>
              <w:spacing w:line="240" w:lineRule="exact"/>
              <w:ind w:firstLine="360" w:firstLineChars="200"/>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第九条  国家保护人民防空设施不受侵害。禁止任何组织或者个人破坏、侵占人民防空设施。</w:t>
            </w:r>
          </w:p>
          <w:p>
            <w:pPr>
              <w:autoSpaceDN w:val="0"/>
              <w:spacing w:line="260" w:lineRule="exact"/>
              <w:ind w:firstLine="36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2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77"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50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2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100</w:t>
            </w:r>
            <w:r>
              <w:rPr>
                <w:rFonts w:hint="eastAsia" w:ascii="仿宋_GB2312" w:hAnsi="仿宋_GB2312" w:eastAsia="仿宋_GB2312"/>
                <w:color w:val="000000"/>
                <w:sz w:val="18"/>
                <w:szCs w:val="18"/>
                <w:highlight w:val="none"/>
              </w:rPr>
              <w:t>平方米以下的。</w:t>
            </w:r>
          </w:p>
        </w:tc>
        <w:tc>
          <w:tcPr>
            <w:tcW w:w="987"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100</w:t>
            </w:r>
            <w:r>
              <w:rPr>
                <w:rFonts w:hint="eastAsia" w:ascii="仿宋_GB2312" w:hAnsi="仿宋_GB2312" w:eastAsia="仿宋_GB2312"/>
                <w:color w:val="000000"/>
                <w:sz w:val="18"/>
                <w:szCs w:val="18"/>
                <w:highlight w:val="none"/>
              </w:rPr>
              <w:t>平方米以上</w:t>
            </w:r>
            <w:r>
              <w:rPr>
                <w:rFonts w:hint="default" w:ascii="仿宋_GB2312" w:hAnsi="仿宋_GB2312" w:eastAsia="仿宋_GB2312"/>
                <w:color w:val="000000"/>
                <w:sz w:val="18"/>
                <w:szCs w:val="18"/>
                <w:highlight w:val="none"/>
                <w:lang w:val="en" w:eastAsia="zh-CN"/>
              </w:rPr>
              <w:t>5</w:t>
            </w:r>
            <w:r>
              <w:rPr>
                <w:rFonts w:hint="eastAsia" w:ascii="仿宋_GB2312" w:hAnsi="仿宋_GB2312" w:eastAsia="仿宋_GB2312"/>
                <w:color w:val="000000"/>
                <w:sz w:val="18"/>
                <w:szCs w:val="18"/>
                <w:highlight w:val="none"/>
              </w:rPr>
              <w:t>00平方米以下的。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00平方米以上</w:t>
            </w:r>
            <w:r>
              <w:rPr>
                <w:rFonts w:hint="default"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00平方米以下的。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00平方米以上</w:t>
            </w:r>
            <w:r>
              <w:rPr>
                <w:rFonts w:hint="default" w:ascii="仿宋_GB2312" w:hAnsi="仿宋_GB2312" w:eastAsia="仿宋_GB2312"/>
                <w:color w:val="000000"/>
                <w:sz w:val="18"/>
                <w:szCs w:val="18"/>
                <w:highlight w:val="none"/>
                <w:lang w:val="en"/>
              </w:rPr>
              <w:t>2000</w:t>
            </w:r>
            <w:r>
              <w:rPr>
                <w:rFonts w:hint="eastAsia" w:ascii="仿宋_GB2312" w:hAnsi="仿宋_GB2312" w:eastAsia="仿宋_GB2312"/>
                <w:color w:val="000000"/>
                <w:sz w:val="18"/>
                <w:szCs w:val="18"/>
                <w:highlight w:val="none"/>
              </w:rPr>
              <w:t>平方米以下的。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2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6"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侵占人防工程面积</w:t>
            </w:r>
            <w:r>
              <w:rPr>
                <w:rFonts w:hint="default" w:ascii="仿宋_GB2312" w:hAnsi="仿宋_GB2312" w:eastAsia="仿宋_GB2312"/>
                <w:color w:val="000000"/>
                <w:sz w:val="18"/>
                <w:szCs w:val="18"/>
                <w:highlight w:val="none"/>
                <w:lang w:val="en"/>
              </w:rPr>
              <w:t>20</w:t>
            </w:r>
            <w:r>
              <w:rPr>
                <w:rFonts w:hint="eastAsia" w:ascii="仿宋_GB2312" w:hAnsi="仿宋_GB2312" w:eastAsia="仿宋_GB2312"/>
                <w:color w:val="000000"/>
                <w:sz w:val="18"/>
                <w:szCs w:val="18"/>
                <w:highlight w:val="none"/>
              </w:rPr>
              <w:t>00平方米以上</w:t>
            </w:r>
            <w:r>
              <w:rPr>
                <w:rFonts w:hint="eastAsia" w:ascii="仿宋_GB2312" w:hAnsi="仿宋_GB2312" w:eastAsia="仿宋_GB2312"/>
                <w:color w:val="000000"/>
                <w:sz w:val="18"/>
                <w:szCs w:val="18"/>
                <w:highlight w:val="none"/>
                <w:lang w:eastAsia="zh-CN"/>
              </w:rPr>
              <w:t>或拒不改正</w:t>
            </w:r>
            <w:r>
              <w:rPr>
                <w:rFonts w:hint="eastAsia" w:ascii="仿宋_GB2312" w:hAnsi="仿宋_GB2312" w:eastAsia="仿宋_GB2312"/>
                <w:color w:val="000000"/>
                <w:sz w:val="18"/>
                <w:szCs w:val="18"/>
                <w:highlight w:val="none"/>
              </w:rPr>
              <w:t>的。</w:t>
            </w:r>
          </w:p>
        </w:tc>
        <w:tc>
          <w:tcPr>
            <w:tcW w:w="987"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7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bl>
    <w:p>
      <w:pPr>
        <w:rPr>
          <w:sz w:val="18"/>
          <w:szCs w:val="18"/>
          <w:highlight w:val="none"/>
        </w:rPr>
      </w:pPr>
      <w:r>
        <w:rPr>
          <w:sz w:val="18"/>
          <w:szCs w:val="18"/>
          <w:highlight w:val="none"/>
        </w:rPr>
        <w:br w:type="page"/>
      </w:r>
    </w:p>
    <w:tbl>
      <w:tblPr>
        <w:tblStyle w:val="15"/>
        <w:tblW w:w="135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5375"/>
        <w:gridCol w:w="1061"/>
        <w:gridCol w:w="6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37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14</w:t>
            </w:r>
          </w:p>
        </w:tc>
        <w:tc>
          <w:tcPr>
            <w:tcW w:w="106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03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73"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对兼顾人防工程建设单位未办理兼顾人防工程竣工验收备案的行政处罚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73"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w:t>
            </w:r>
            <w:r>
              <w:rPr>
                <w:rFonts w:ascii="仿宋_GB2312" w:hAnsi="仿宋_GB2312" w:eastAsia="仿宋_GB2312"/>
                <w:b/>
                <w:bCs/>
                <w:color w:val="000000"/>
                <w:sz w:val="18"/>
                <w:szCs w:val="18"/>
                <w:highlight w:val="none"/>
                <w:lang w:val="en"/>
              </w:rPr>
              <w:t>&lt;</w:t>
            </w:r>
            <w:r>
              <w:rPr>
                <w:rFonts w:hint="eastAsia" w:ascii="仿宋_GB2312" w:hAnsi="仿宋_GB2312" w:eastAsia="仿宋_GB2312"/>
                <w:b/>
                <w:bCs/>
                <w:color w:val="000000"/>
                <w:sz w:val="18"/>
                <w:szCs w:val="18"/>
                <w:highlight w:val="none"/>
              </w:rPr>
              <w:t>中华人民共和国人民防空法</w:t>
            </w:r>
            <w:r>
              <w:rPr>
                <w:rFonts w:ascii="仿宋_GB2312" w:hAnsi="仿宋_GB2312" w:eastAsia="仿宋_GB2312"/>
                <w:b/>
                <w:bCs/>
                <w:color w:val="000000"/>
                <w:sz w:val="18"/>
                <w:szCs w:val="18"/>
                <w:highlight w:val="none"/>
                <w:lang w:val="en"/>
              </w:rPr>
              <w:t>&gt;</w:t>
            </w:r>
            <w:r>
              <w:rPr>
                <w:rFonts w:hint="eastAsia" w:ascii="仿宋_GB2312" w:hAnsi="仿宋_GB2312" w:eastAsia="仿宋_GB2312"/>
                <w:b/>
                <w:bCs/>
                <w:color w:val="000000"/>
                <w:sz w:val="18"/>
                <w:szCs w:val="18"/>
                <w:highlight w:val="none"/>
              </w:rPr>
              <w:t>办法》</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 xml:space="preserve">第十七条  人民防空工程和兼顾人民防空需要的地下工程竣工后，建设单位应当按照国家和省有关规定组织竣工验收，并将验收文件报人民防空主管部门备案。未经验收或者验收不合格的，不得交付使用。       </w:t>
            </w:r>
          </w:p>
          <w:p>
            <w:pPr>
              <w:autoSpaceDN w:val="0"/>
              <w:spacing w:line="260" w:lineRule="exact"/>
              <w:ind w:firstLine="360" w:firstLineChars="200"/>
              <w:textAlignment w:val="center"/>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第三十一条 违反本办法第十七条规定，兼顾人民防空需要的地下工程竣工后未将验收文件报人民防空主管部门备案的，由县级以上人民防空主管部门责令限期改正，可以处五千元以下罚款。</w:t>
            </w:r>
            <w:r>
              <w:rPr>
                <w:rFonts w:ascii="宋体" w:hAnsi="宋体" w:cs="宋体"/>
                <w:kern w:val="0"/>
                <w:sz w:val="18"/>
                <w:szCs w:val="18"/>
                <w:highlight w:val="none"/>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47"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73"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520"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47"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375"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逾期未改正的。</w:t>
            </w:r>
          </w:p>
        </w:tc>
        <w:tc>
          <w:tcPr>
            <w:tcW w:w="1061" w:type="dxa"/>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37"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处１千元+（</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）×5百元罚款，但最高不超过5千元。</w:t>
            </w:r>
          </w:p>
        </w:tc>
      </w:tr>
    </w:tbl>
    <w:p>
      <w:pPr>
        <w:rPr>
          <w:sz w:val="18"/>
          <w:szCs w:val="18"/>
          <w:highlight w:val="none"/>
        </w:rPr>
      </w:pPr>
      <w:r>
        <w:rPr>
          <w:sz w:val="44"/>
        </w:rPr>
        <mc:AlternateContent>
          <mc:Choice Requires="wps">
            <w:drawing>
              <wp:anchor distT="0" distB="0" distL="114300" distR="114300" simplePos="0" relativeHeight="305091584" behindDoc="0" locked="0" layoutInCell="1" allowOverlap="1">
                <wp:simplePos x="0" y="0"/>
                <wp:positionH relativeFrom="column">
                  <wp:posOffset>-573405</wp:posOffset>
                </wp:positionH>
                <wp:positionV relativeFrom="paragraph">
                  <wp:posOffset>2364740</wp:posOffset>
                </wp:positionV>
                <wp:extent cx="443230" cy="759460"/>
                <wp:effectExtent l="0" t="0" r="13970" b="2540"/>
                <wp:wrapNone/>
                <wp:docPr id="51" name="文本框 51"/>
                <wp:cNvGraphicFramePr/>
                <a:graphic xmlns:a="http://schemas.openxmlformats.org/drawingml/2006/main">
                  <a:graphicData uri="http://schemas.microsoft.com/office/word/2010/wordprocessingShape">
                    <wps:wsp>
                      <wps:cNvSpPr txBox="true"/>
                      <wps:spPr>
                        <a:xfrm>
                          <a:off x="0" y="0"/>
                          <a:ext cx="443230" cy="75946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5.15pt;margin-top:186.2pt;height:59.8pt;width:34.9pt;z-index:305091584;mso-width-relative:page;mso-height-relative:page;" fillcolor="#FFFFFF" filled="t" stroked="f" coordsize="21600,21600" o:gfxdata="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Nk0&#10;d3vZAAAACwEAAA8AAAAAAAAAAQAgAAAAOAAAAGRycy9kb3ducmV2LnhtbFBLAQIUABQAAAAIAIdO&#10;4kCc+AyVRQIAAGQEAAAOAAAAAAAAAAEAIAAAAD4BAABkcnMvZTJvRG9jLnhtbFBLBQYAAAAABgAG&#10;AFkBAAD1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15</w:t>
                      </w:r>
                      <w:r>
                        <w:rPr>
                          <w:rStyle w:val="18"/>
                          <w:sz w:val="28"/>
                          <w:szCs w:val="28"/>
                        </w:rPr>
                        <w:t xml:space="preserve"> —</w:t>
                      </w:r>
                    </w:p>
                    <w:p>
                      <w:pPr>
                        <w:rPr>
                          <w:rFonts w:hint="default"/>
                          <w:lang w:val="en-US" w:eastAsia="zh-CN"/>
                        </w:rPr>
                      </w:pPr>
                    </w:p>
                  </w:txbxContent>
                </v:textbox>
              </v:shape>
            </w:pict>
          </mc:Fallback>
        </mc:AlternateContent>
      </w:r>
      <w:r>
        <w:rPr>
          <w:sz w:val="18"/>
          <w:szCs w:val="18"/>
          <w:highlight w:val="none"/>
        </w:rPr>
        <w:br w:type="page"/>
      </w:r>
    </w:p>
    <w:p>
      <w:pPr>
        <w:pStyle w:val="20"/>
      </w:pPr>
      <w:r>
        <w:rPr>
          <w:sz w:val="44"/>
        </w:rPr>
        <mc:AlternateContent>
          <mc:Choice Requires="wps">
            <w:drawing>
              <wp:anchor distT="0" distB="0" distL="114300" distR="114300" simplePos="0" relativeHeight="572263424" behindDoc="0" locked="0" layoutInCell="1" allowOverlap="1">
                <wp:simplePos x="0" y="0"/>
                <wp:positionH relativeFrom="column">
                  <wp:posOffset>-523240</wp:posOffset>
                </wp:positionH>
                <wp:positionV relativeFrom="paragraph">
                  <wp:posOffset>-372745</wp:posOffset>
                </wp:positionV>
                <wp:extent cx="443230" cy="829310"/>
                <wp:effectExtent l="0" t="0" r="13970" b="8890"/>
                <wp:wrapNone/>
                <wp:docPr id="1" name="文本框 1"/>
                <wp:cNvGraphicFramePr/>
                <a:graphic xmlns:a="http://schemas.openxmlformats.org/drawingml/2006/main">
                  <a:graphicData uri="http://schemas.microsoft.com/office/word/2010/wordprocessingShape">
                    <wps:wsp>
                      <wps:cNvSpPr txBox="true"/>
                      <wps:spPr>
                        <a:xfrm>
                          <a:off x="0" y="0"/>
                          <a:ext cx="443230" cy="82931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2pt;margin-top:-29.35pt;height:65.3pt;width:34.9pt;z-index:572263424;mso-width-relative:page;mso-height-relative:page;" fillcolor="#FFFFFF" filled="t" stroked="f" coordsize="21600,21600" o:gfxdata="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IDcGMnZ&#10;AAAACgEAAA8AAAAAAAAAAQAgAAAAOAAAAGRycy9kb3ducmV2LnhtbFBLAQIUABQAAAAIAIdO4kAn&#10;L36nQgIAAGIEAAAOAAAAAAAAAAEAIAAAAD4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16</w:t>
                      </w:r>
                      <w:r>
                        <w:rPr>
                          <w:rStyle w:val="18"/>
                          <w:sz w:val="28"/>
                          <w:szCs w:val="28"/>
                        </w:rPr>
                        <w:t xml:space="preserve"> —</w:t>
                      </w:r>
                    </w:p>
                    <w:p>
                      <w:pPr>
                        <w:rPr>
                          <w:rFonts w:hint="default"/>
                          <w:lang w:val="en-US" w:eastAsia="zh-CN"/>
                        </w:rPr>
                      </w:pPr>
                    </w:p>
                  </w:txbxContent>
                </v:textbox>
              </v:shape>
            </w:pict>
          </mc:Fallback>
        </mc:AlternateContent>
      </w:r>
    </w:p>
    <w:tbl>
      <w:tblPr>
        <w:tblStyle w:val="15"/>
        <w:tblpPr w:leftFromText="180" w:rightFromText="180" w:vertAnchor="text" w:horzAnchor="page" w:tblpX="1788" w:tblpY="469"/>
        <w:tblOverlap w:val="never"/>
        <w:tblW w:w="134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5404"/>
        <w:gridCol w:w="1068"/>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15</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6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513"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对擅自拆除、改造、报废人防工程的行政处罚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9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513"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《浙江省实施&lt;中华人民共和国人民防空法&gt;办法》</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第二十七条 任何单位和个人不得擅自拆除、改造或者报废人民防空工程。确需拆除、改造或者报废的，应当按照国家和省有关规定，报经设区的市、县（市、区）人民防空主管部门批准。</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人民防空工程经批准拆除的，拆除单位或者个人应当按照原工程面积及标准在规定期限内补建，其中拆除简易人民防空工程的，应当补建同面积六级人民防空工程;无法补建的，应当按照人民防空工程易地建设费标准支付人民防空工程补偿费，由人民防空主管部门统一组织建设。</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人民防空工程经批准改造的，不得减少其掩蔽面积，不得降低其防空效能。</w:t>
            </w:r>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513"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479"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擅自拆除、改造、报废人防工程面积500平方米以下的。</w:t>
            </w:r>
          </w:p>
        </w:tc>
        <w:tc>
          <w:tcPr>
            <w:tcW w:w="1068"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041"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擅自拆除、改造、报废人防工程面积500平方米以上1000平方米以下的。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30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给予警告；责令限期改正；对个人处１千元至２千元罚款，对单位处１万元至２万元罚款。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擅自拆除、改造、报废人防工程面积1000平方米以上1500平方米以下的。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30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给予警告；责令限期改正；对个人处２千元至３千元罚款，对单位处２万元至３万元罚款。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擅自拆除、改造、报废人防工程面积1500平方米以上2000平方米以下的。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给予警告；责令限期改正；对个人处３千元至４千元罚款，对单位处３万元至４万元罚款。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04" w:type="dxa"/>
            <w:noWrap w:val="0"/>
            <w:vAlign w:val="center"/>
          </w:tcPr>
          <w:p>
            <w:pPr>
              <w:autoSpaceDN w:val="0"/>
              <w:spacing w:line="30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擅自拆除、改造、报废人防工程面积2000平方米以上的。</w:t>
            </w:r>
          </w:p>
        </w:tc>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604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给予警告；责令限期改正；对个人处４千元至５千元罚款，对单位处４万元至５万元罚款。</w:t>
            </w:r>
          </w:p>
        </w:tc>
      </w:tr>
    </w:tbl>
    <w:p>
      <w:pPr>
        <w:pStyle w:val="20"/>
      </w:pPr>
    </w:p>
    <w:tbl>
      <w:tblPr>
        <w:tblStyle w:val="15"/>
        <w:tblpPr w:leftFromText="180" w:rightFromText="180" w:vertAnchor="text" w:horzAnchor="page" w:tblpX="1809" w:tblpY="411"/>
        <w:tblOverlap w:val="never"/>
        <w:tblW w:w="134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5301"/>
        <w:gridCol w:w="1089"/>
        <w:gridCol w:w="5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6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301"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16</w:t>
            </w:r>
          </w:p>
        </w:tc>
        <w:tc>
          <w:tcPr>
            <w:tcW w:w="1089"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sz w:val="18"/>
                <w:szCs w:val="18"/>
                <w:highlight w:val="none"/>
              </w:rPr>
            </w:pPr>
            <w:r>
              <w:rPr>
                <w:rFonts w:hint="eastAsia" w:ascii="仿宋_GB2312" w:hAnsi="仿宋_GB2312" w:eastAsia="仿宋_GB2312"/>
                <w:color w:val="000000"/>
                <w:sz w:val="18"/>
                <w:szCs w:val="18"/>
                <w:highlight w:val="none"/>
              </w:rPr>
              <w:t>330280001000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6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4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lang w:val="en"/>
              </w:rPr>
              <w:t>对人防工程建设单位不建或者少建防空地下室的行政处罚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6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4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jc w:val="left"/>
              <w:textAlignment w:val="bottom"/>
              <w:rPr>
                <w:rFonts w:hint="eastAsia" w:ascii="仿宋_GB2312" w:hAnsi="仿宋_GB2312" w:eastAsia="仿宋_GB2312"/>
                <w:b/>
                <w:bCs/>
                <w:color w:val="000000"/>
                <w:sz w:val="18"/>
                <w:szCs w:val="18"/>
                <w:highlight w:val="none"/>
                <w:lang w:val="en"/>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lang w:val="en"/>
              </w:rPr>
              <w:t>《中华人民共和国人民防空法》</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第四十八条 城市新建民用建筑，违反国家有关规定不修建战时可用于防空的地下室的，由县级以上人民政府人民防空主管部门对当事人给予警告，并责令限期修建，可以并处十万元以下的罚款。</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jc w:val="left"/>
              <w:textAlignment w:val="bottom"/>
              <w:rPr>
                <w:rFonts w:hint="eastAsia" w:ascii="仿宋_GB2312" w:hAnsi="仿宋_GB2312" w:eastAsia="仿宋_GB2312"/>
                <w:b/>
                <w:bCs/>
                <w:color w:val="000000"/>
                <w:sz w:val="18"/>
                <w:szCs w:val="18"/>
                <w:highlight w:val="none"/>
                <w:lang w:val="en"/>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lang w:val="en"/>
              </w:rPr>
              <w:t>《浙江省实施〈中华人民共和国人民防空法〉办法》</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第十二条  第十二条  国家和省确定的人民防空重点城市、镇国土空间总体规划确定的城镇建设用地范围内，以及依法设立的开发区、工业园区、保税区（港区）和重要经济目标等区域内新建（含改建、扩建，下同）地面民用建筑，应当按照其一次性规划新建或者新增地面总建筑面积的下列比例修建防空地下室：（一） 新建居民住宅的，国家确定的一、二、三类人民防空重点城市修建比例依次为百分之十一、百分之十、百分之九，省确定的人民防空重点城市（含县城）、重点镇修建比例分别为百分之八、百分之七；（二） 新建其他民用建筑总建筑面积在二千平方米以上的，国家确定的一、二、三类人民防空重点城市修建比例依次为百分之八、百分之七、百分之六，省确定的人民防空重点城市（含县城）、重点镇修建比例分别为百分之五、百分之四；（三） 依法设立的开发区、工业园区、保税区（港区）和重要经济目标等区域范围内的修建比例，按照所属国家或者省确定的人民防空重点城市的比例执行。</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战时功能和防护等级由县级以上人民防空主管部门按照国家有关规定和人民防空工程规划确定。</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任何单位和个人无权批准减免应建防空地下室建筑面积，或者降低防空地下室防护标准。</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jc w:val="left"/>
              <w:textAlignment w:val="bottom"/>
              <w:rPr>
                <w:rFonts w:ascii="仿宋_GB2312" w:hAnsi="仿宋_GB2312" w:eastAsia="仿宋_GB2312" w:cs="Times New Roman"/>
                <w:b/>
                <w:color w:val="000000"/>
                <w:sz w:val="18"/>
                <w:szCs w:val="18"/>
                <w:highlight w:val="none"/>
                <w:lang w:val="en"/>
              </w:rPr>
            </w:pPr>
            <w:r>
              <w:rPr>
                <w:rFonts w:hint="eastAsia" w:ascii="仿宋_GB2312" w:hAnsi="仿宋_GB2312" w:eastAsia="仿宋_GB2312"/>
                <w:color w:val="000000"/>
                <w:sz w:val="18"/>
                <w:szCs w:val="18"/>
                <w:highlight w:val="none"/>
                <w:lang w:val="en"/>
              </w:rPr>
              <w:t>第二十九条</w:t>
            </w:r>
            <w:r>
              <w:rPr>
                <w:rFonts w:hint="eastAsia" w:ascii="仿宋_GB2312" w:hAnsi="仿宋_GB2312" w:eastAsia="仿宋_GB2312"/>
                <w:color w:val="000000"/>
                <w:sz w:val="18"/>
                <w:szCs w:val="18"/>
                <w:highlight w:val="none"/>
              </w:rPr>
              <w:t xml:space="preserve">  </w:t>
            </w:r>
            <w:r>
              <w:rPr>
                <w:rFonts w:hint="eastAsia" w:ascii="仿宋_GB2312" w:hAnsi="仿宋_GB2312" w:eastAsia="仿宋_GB2312"/>
                <w:color w:val="000000"/>
                <w:sz w:val="18"/>
                <w:szCs w:val="18"/>
                <w:highlight w:val="none"/>
                <w:lang w:val="en"/>
              </w:rPr>
              <w:t>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6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4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17" w:type="dxa"/>
            <w:gridSpan w:val="4"/>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由于客观原因造成不建或少建后，主动补建防空地下室或补缴人民防空工程易地建设费的。</w:t>
            </w:r>
          </w:p>
        </w:tc>
        <w:tc>
          <w:tcPr>
            <w:tcW w:w="1089"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免予处罚。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不建或少建面积在500平方米以下的。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不建或少建面积在500平方米以上1000平方米以下的。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给予警告；责令限期修建、补建或者按照规定缴纳人民防空工程易地建设费；按照应建防空地下室面积每平方米</w:t>
            </w:r>
            <w:r>
              <w:rPr>
                <w:rFonts w:ascii="仿宋_GB2312" w:hAnsi="仿宋_GB2312" w:eastAsia="仿宋_GB2312"/>
                <w:color w:val="000000"/>
                <w:sz w:val="18"/>
                <w:szCs w:val="18"/>
                <w:highlight w:val="none"/>
                <w:lang w:val="en"/>
              </w:rPr>
              <w:t>40</w:t>
            </w:r>
            <w:r>
              <w:rPr>
                <w:rFonts w:hint="eastAsia" w:ascii="仿宋_GB2312" w:hAnsi="仿宋_GB2312" w:eastAsia="仿宋_GB2312"/>
                <w:color w:val="000000"/>
                <w:sz w:val="18"/>
                <w:szCs w:val="18"/>
                <w:highlight w:val="none"/>
              </w:rPr>
              <w:t>元至</w:t>
            </w:r>
            <w:r>
              <w:rPr>
                <w:rFonts w:ascii="仿宋_GB2312" w:hAnsi="仿宋_GB2312" w:eastAsia="仿宋_GB2312"/>
                <w:color w:val="000000"/>
                <w:sz w:val="18"/>
                <w:szCs w:val="18"/>
                <w:highlight w:val="none"/>
                <w:lang w:val="en"/>
              </w:rPr>
              <w:t>60</w:t>
            </w:r>
            <w:r>
              <w:rPr>
                <w:rFonts w:hint="eastAsia" w:ascii="仿宋_GB2312" w:hAnsi="仿宋_GB2312" w:eastAsia="仿宋_GB2312"/>
                <w:color w:val="000000"/>
                <w:sz w:val="18"/>
                <w:szCs w:val="18"/>
                <w:highlight w:val="none"/>
              </w:rPr>
              <w:t>元的标准处以罚款。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不建或少建面积在1000平方米以上1500平方米以下的。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给予警告；责令限期修建、补建或者按照规定缴纳人民防空工程易地建设费；按照应建防空地下室面积每平方米</w:t>
            </w:r>
            <w:r>
              <w:rPr>
                <w:rFonts w:ascii="仿宋_GB2312" w:hAnsi="仿宋_GB2312" w:eastAsia="仿宋_GB2312"/>
                <w:color w:val="000000"/>
                <w:sz w:val="18"/>
                <w:szCs w:val="18"/>
                <w:highlight w:val="none"/>
                <w:lang w:val="en"/>
              </w:rPr>
              <w:t>60</w:t>
            </w:r>
            <w:r>
              <w:rPr>
                <w:rFonts w:hint="eastAsia" w:ascii="仿宋_GB2312" w:hAnsi="仿宋_GB2312" w:eastAsia="仿宋_GB2312"/>
                <w:color w:val="000000"/>
                <w:sz w:val="18"/>
                <w:szCs w:val="18"/>
                <w:highlight w:val="none"/>
              </w:rPr>
              <w:t>元至</w:t>
            </w:r>
            <w:r>
              <w:rPr>
                <w:rFonts w:ascii="仿宋_GB2312" w:hAnsi="仿宋_GB2312" w:eastAsia="仿宋_GB2312"/>
                <w:color w:val="000000"/>
                <w:sz w:val="18"/>
                <w:szCs w:val="18"/>
                <w:highlight w:val="none"/>
                <w:lang w:val="en"/>
              </w:rPr>
              <w:t>80</w:t>
            </w:r>
            <w:r>
              <w:rPr>
                <w:rFonts w:hint="eastAsia" w:ascii="仿宋_GB2312" w:hAnsi="仿宋_GB2312" w:eastAsia="仿宋_GB2312"/>
                <w:color w:val="000000"/>
                <w:sz w:val="18"/>
                <w:szCs w:val="18"/>
                <w:highlight w:val="none"/>
              </w:rPr>
              <w:t>元的标准处以罚款</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但最高不超过</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68"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30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不建或少建面积在1500平方米以上的。</w:t>
            </w:r>
          </w:p>
        </w:tc>
        <w:tc>
          <w:tcPr>
            <w:tcW w:w="1089"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ascii="仿宋_GB2312" w:hAnsi="仿宋_GB2312" w:eastAsia="仿宋_GB2312"/>
                <w:color w:val="000000"/>
                <w:sz w:val="18"/>
                <w:szCs w:val="18"/>
                <w:highlight w:val="none"/>
              </w:rPr>
            </w:pPr>
          </w:p>
        </w:tc>
        <w:tc>
          <w:tcPr>
            <w:tcW w:w="595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给予警告；责令限期修建、补建或者按照规定缴纳人民防空工程易地建设费；处</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rPr>
              <w:t>万元罚款。</w:t>
            </w:r>
          </w:p>
        </w:tc>
      </w:tr>
    </w:tbl>
    <w:p>
      <w:pPr>
        <w:pStyle w:val="2"/>
      </w:pPr>
      <w:r>
        <w:rPr>
          <w:sz w:val="44"/>
        </w:rPr>
        <mc:AlternateContent>
          <mc:Choice Requires="wps">
            <w:drawing>
              <wp:anchor distT="0" distB="0" distL="114300" distR="114300" simplePos="0" relativeHeight="643509248" behindDoc="0" locked="0" layoutInCell="1" allowOverlap="1">
                <wp:simplePos x="0" y="0"/>
                <wp:positionH relativeFrom="column">
                  <wp:posOffset>-539750</wp:posOffset>
                </wp:positionH>
                <wp:positionV relativeFrom="paragraph">
                  <wp:posOffset>34290</wp:posOffset>
                </wp:positionV>
                <wp:extent cx="396875" cy="770255"/>
                <wp:effectExtent l="0" t="0" r="3175" b="10795"/>
                <wp:wrapNone/>
                <wp:docPr id="2" name="文本框 2"/>
                <wp:cNvGraphicFramePr/>
                <a:graphic xmlns:a="http://schemas.openxmlformats.org/drawingml/2006/main">
                  <a:graphicData uri="http://schemas.microsoft.com/office/word/2010/wordprocessingShape">
                    <wps:wsp>
                      <wps:cNvSpPr txBox="true"/>
                      <wps:spPr>
                        <a:xfrm>
                          <a:off x="0" y="0"/>
                          <a:ext cx="396875" cy="77025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17</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5pt;margin-top:2.7pt;height:60.65pt;width:31.25pt;z-index:643509248;mso-width-relative:page;mso-height-relative:page;" fillcolor="#FFFFFF" filled="t" stroked="f" coordsize="21600,21600" o:gfxdata="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Pfrn3nY&#10;AAAACQEAAA8AAAAAAAAAAQAgAAAAOAAAAGRycy9kb3ducmV2LnhtbFBLAQIUABQAAAAIAIdO4kB4&#10;ZxgBQwIAAGIEAAAOAAAAAAAAAAEAIAAAAD0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17</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sz w:val="44"/>
        </w:rPr>
        <mc:AlternateContent>
          <mc:Choice Requires="wps">
            <w:drawing>
              <wp:anchor distT="0" distB="0" distL="114300" distR="114300" simplePos="0" relativeHeight="358525952" behindDoc="0" locked="0" layoutInCell="1" allowOverlap="1">
                <wp:simplePos x="0" y="0"/>
                <wp:positionH relativeFrom="column">
                  <wp:posOffset>-514985</wp:posOffset>
                </wp:positionH>
                <wp:positionV relativeFrom="paragraph">
                  <wp:posOffset>-287020</wp:posOffset>
                </wp:positionV>
                <wp:extent cx="443230" cy="793750"/>
                <wp:effectExtent l="0" t="0" r="13970" b="6350"/>
                <wp:wrapNone/>
                <wp:docPr id="54" name="文本框 54"/>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18</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0.55pt;margin-top:-22.6pt;height:62.5pt;width:34.9pt;z-index:358525952;mso-width-relative:page;mso-height-relative:page;" fillcolor="#FFFFFF" filled="t" stroked="f" coordsize="21600,21600" o:gfxdata="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9T5hc&#10;2QAAAAoBAAAPAAAAAAAAAAEAIAAAADgAAABkcnMvZG93bnJldi54bWxQSwECFAAUAAAACACHTuJA&#10;3166DkMCAABkBAAADgAAAAAAAAABACAAAAA+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18</w:t>
                      </w:r>
                      <w:r>
                        <w:rPr>
                          <w:rStyle w:val="18"/>
                          <w:sz w:val="28"/>
                          <w:szCs w:val="28"/>
                        </w:rPr>
                        <w:t xml:space="preserve"> —</w:t>
                      </w:r>
                    </w:p>
                    <w:p>
                      <w:pPr>
                        <w:rPr>
                          <w:rFonts w:hint="default"/>
                          <w:lang w:val="en-US" w:eastAsia="zh-CN"/>
                        </w:rPr>
                      </w:pPr>
                    </w:p>
                  </w:txbxContent>
                </v:textbox>
              </v:shape>
            </w:pict>
          </mc:Fallback>
        </mc:AlternateContent>
      </w:r>
      <w:r>
        <w:rPr>
          <w:sz w:val="44"/>
        </w:rPr>
        <mc:AlternateContent>
          <mc:Choice Requires="wps">
            <w:drawing>
              <wp:anchor distT="0" distB="0" distL="114300" distR="114300" simplePos="0" relativeHeight="254483456" behindDoc="0" locked="0" layoutInCell="1" allowOverlap="1">
                <wp:simplePos x="0" y="0"/>
                <wp:positionH relativeFrom="column">
                  <wp:posOffset>-173355</wp:posOffset>
                </wp:positionH>
                <wp:positionV relativeFrom="paragraph">
                  <wp:posOffset>5328285</wp:posOffset>
                </wp:positionV>
                <wp:extent cx="523875" cy="562610"/>
                <wp:effectExtent l="0" t="0" r="9525" b="8890"/>
                <wp:wrapNone/>
                <wp:docPr id="29" name="文本框 29"/>
                <wp:cNvGraphicFramePr/>
                <a:graphic xmlns:a="http://schemas.openxmlformats.org/drawingml/2006/main">
                  <a:graphicData uri="http://schemas.microsoft.com/office/word/2010/wordprocessingShape">
                    <wps:wsp>
                      <wps:cNvSpPr txBox="true"/>
                      <wps:spPr>
                        <a:xfrm>
                          <a:off x="0" y="0"/>
                          <a:ext cx="523875" cy="562610"/>
                        </a:xfrm>
                        <a:prstGeom prst="rect">
                          <a:avLst/>
                        </a:prstGeom>
                        <a:solidFill>
                          <a:srgbClr val="FFFFFF"/>
                        </a:solidFill>
                        <a:ln w="6350">
                          <a:noFill/>
                        </a:ln>
                        <a:effectLst/>
                      </wps:spPr>
                      <wps:txbx>
                        <w:txbxContent>
                          <w:p>
                            <w:pPr>
                              <w:rPr>
                                <w:rFonts w:hint="default" w:ascii="宋体" w:hAnsi="宋体" w:eastAsia="宋体" w:cs="宋体"/>
                                <w:sz w:val="28"/>
                                <w:szCs w:val="28"/>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65pt;margin-top:419.55pt;height:44.3pt;width:41.25pt;z-index:254483456;mso-width-relative:page;mso-height-relative:page;" fillcolor="#FFFFFF" filled="t" stroked="f" coordsize="21600,21600" o:gfxdata="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hL91&#10;SNgAAAAKAQAADwAAAAAAAAABACAAAAA4AAAAZHJzL2Rvd25yZXYueG1sUEsBAhQAFAAAAAgAh07i&#10;QINMtaNFAgAAZAQAAA4AAAAAAAAAAQAgAAAAPQEAAGRycy9lMm9Eb2MueG1sUEsFBgAAAAAGAAYA&#10;WQEAAPQFAAAAAA==&#10;">
                <v:fill on="t" focussize="0,0"/>
                <v:stroke on="f" weight="0.5pt"/>
                <v:imagedata o:title=""/>
                <o:lock v:ext="edit" aspectratio="f"/>
                <v:textbox style="layout-flow:vertical-ideographic;">
                  <w:txbxContent>
                    <w:p>
                      <w:pPr>
                        <w:rPr>
                          <w:rFonts w:hint="default" w:ascii="宋体" w:hAnsi="宋体" w:eastAsia="宋体" w:cs="宋体"/>
                          <w:sz w:val="28"/>
                          <w:szCs w:val="28"/>
                          <w:lang w:val="en-US" w:eastAsia="zh-CN"/>
                        </w:rPr>
                      </w:pPr>
                    </w:p>
                  </w:txbxContent>
                </v:textbox>
              </v:shape>
            </w:pict>
          </mc:Fallback>
        </mc:AlternateContent>
      </w:r>
    </w:p>
    <w:tbl>
      <w:tblPr>
        <w:tblStyle w:val="15"/>
        <w:tblpPr w:leftFromText="180" w:rightFromText="180" w:vertAnchor="text" w:horzAnchor="page" w:tblpXSpec="center" w:tblpY="310"/>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904"/>
        <w:gridCol w:w="1083"/>
        <w:gridCol w:w="5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方正黑体_GBK" w:hAnsi="方正黑体_GBK" w:eastAsia="方正黑体_GBK" w:cs="方正黑体_GBK"/>
                <w:sz w:val="18"/>
                <w:szCs w:val="18"/>
                <w:highlight w:val="none"/>
              </w:rPr>
            </w:pPr>
            <w:r>
              <w:rPr>
                <w:sz w:val="18"/>
                <w:szCs w:val="18"/>
                <w:highlight w:val="none"/>
              </w:rPr>
              <w:br w:type="page"/>
            </w:r>
            <w:r>
              <w:rPr>
                <w:rFonts w:hint="eastAsia" w:ascii="方正黑体_GBK" w:hAnsi="方正黑体_GBK" w:eastAsia="方正黑体_GBK" w:cs="方正黑体_GBK"/>
                <w:sz w:val="18"/>
                <w:szCs w:val="18"/>
                <w:highlight w:val="none"/>
              </w:rPr>
              <w:t>序　　号</w:t>
            </w:r>
          </w:p>
        </w:tc>
        <w:tc>
          <w:tcPr>
            <w:tcW w:w="490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17</w:t>
            </w:r>
          </w:p>
        </w:tc>
        <w:tc>
          <w:tcPr>
            <w:tcW w:w="10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59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330280007000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951" w:type="dxa"/>
            <w:gridSpan w:val="3"/>
            <w:noWrap w:val="0"/>
            <w:vAlign w:val="center"/>
          </w:tcPr>
          <w:p>
            <w:pPr>
              <w:keepNext w:val="0"/>
              <w:keepLines w:val="0"/>
              <w:pageBreakBefore w:val="0"/>
              <w:widowControl/>
              <w:suppressLineNumbers w:val="0"/>
              <w:kinsoku/>
              <w:wordWrap/>
              <w:overflowPunct/>
              <w:topLinePunct w:val="0"/>
              <w:autoSpaceDE/>
              <w:bidi w:val="0"/>
              <w:adjustRightInd w:val="0"/>
              <w:snapToGrid w:val="0"/>
              <w:spacing w:line="240" w:lineRule="auto"/>
              <w:jc w:val="left"/>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s="黑体"/>
                <w:color w:val="000000"/>
                <w:sz w:val="18"/>
                <w:szCs w:val="18"/>
                <w:highlight w:val="none"/>
              </w:rPr>
              <w:t>对建设单位未组织人防工程竣工验收或验收不合格擅自交付使用或对不合格的人防工程按照合格工程验收的行政处罚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21"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951"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《建设工程质量管理条例》</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第十六条  建设单位收到建设工程竣工报告后，应当组织设计、施工、工程监理等有关单位进行竣工验收。</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pPr>
              <w:autoSpaceDN w:val="0"/>
              <w:spacing w:line="26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第五十八条  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bookmarkStart w:id="0" w:name="73"/>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第七十三条</w:t>
            </w:r>
            <w:bookmarkEnd w:id="0"/>
            <w:r>
              <w:rPr>
                <w:rFonts w:hint="eastAsia" w:ascii="仿宋_GB2312" w:hAnsi="仿宋_GB2312" w:eastAsia="仿宋_GB2312"/>
                <w:color w:val="000000"/>
                <w:sz w:val="18"/>
                <w:szCs w:val="18"/>
                <w:highlight w:val="none"/>
              </w:rPr>
              <w:t>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02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951"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72" w:type="dxa"/>
            <w:gridSpan w:val="4"/>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21"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未造成质量事故的。</w:t>
            </w:r>
          </w:p>
        </w:tc>
        <w:tc>
          <w:tcPr>
            <w:tcW w:w="1083"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64"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造成一般质量事故的。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2.2%</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2.5%</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造成严重质量事故的。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2.5%</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7</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造成重大质量事故的。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3.5%</w:t>
            </w:r>
            <w:r>
              <w:rPr>
                <w:rFonts w:hint="eastAsia" w:ascii="仿宋_GB2312" w:hAnsi="仿宋_GB2312" w:eastAsia="仿宋_GB2312"/>
                <w:color w:val="000000"/>
                <w:sz w:val="18"/>
                <w:szCs w:val="18"/>
                <w:highlight w:val="none"/>
              </w:rPr>
              <w:t>罚款；对个人处单位罚款数额</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至</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lang w:val="en"/>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1"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90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造成特别重大质量事故的。</w:t>
            </w:r>
          </w:p>
        </w:tc>
        <w:tc>
          <w:tcPr>
            <w:tcW w:w="1083"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64"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责令改正；对单位处工程价款</w:t>
            </w:r>
            <w:r>
              <w:rPr>
                <w:rFonts w:ascii="仿宋_GB2312" w:hAnsi="仿宋_GB2312" w:eastAsia="仿宋_GB2312"/>
                <w:color w:val="000000"/>
                <w:sz w:val="18"/>
                <w:szCs w:val="18"/>
                <w:highlight w:val="none"/>
                <w:lang w:val="en"/>
              </w:rPr>
              <w:t>3.5%</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的罚款；对个人处单位罚款数额</w:t>
            </w:r>
            <w:r>
              <w:rPr>
                <w:rFonts w:ascii="仿宋_GB2312" w:hAnsi="仿宋_GB2312" w:eastAsia="仿宋_GB2312"/>
                <w:color w:val="000000"/>
                <w:sz w:val="18"/>
                <w:szCs w:val="18"/>
                <w:highlight w:val="none"/>
                <w:lang w:val="en"/>
              </w:rPr>
              <w:t>9</w:t>
            </w:r>
            <w:r>
              <w:rPr>
                <w:rFonts w:hint="eastAsia" w:ascii="仿宋_GB2312" w:hAnsi="仿宋_GB2312" w:eastAsia="仿宋_GB2312"/>
                <w:color w:val="000000"/>
                <w:sz w:val="18"/>
                <w:szCs w:val="18"/>
                <w:highlight w:val="none"/>
              </w:rPr>
              <w:t>％至</w:t>
            </w:r>
            <w:r>
              <w:rPr>
                <w:rFonts w:ascii="仿宋_GB2312" w:hAnsi="仿宋_GB2312" w:eastAsia="仿宋_GB2312"/>
                <w:color w:val="000000"/>
                <w:sz w:val="18"/>
                <w:szCs w:val="18"/>
                <w:highlight w:val="none"/>
                <w:lang w:val="en"/>
              </w:rPr>
              <w:t>10%</w:t>
            </w:r>
            <w:r>
              <w:rPr>
                <w:rFonts w:hint="eastAsia" w:ascii="仿宋_GB2312" w:hAnsi="仿宋_GB2312" w:eastAsia="仿宋_GB2312"/>
                <w:color w:val="000000"/>
                <w:sz w:val="18"/>
                <w:szCs w:val="18"/>
                <w:highlight w:val="none"/>
                <w:lang w:val="en"/>
              </w:rPr>
              <w:t>的罚款。</w:t>
            </w:r>
          </w:p>
        </w:tc>
      </w:tr>
    </w:tbl>
    <w:p>
      <w:pPr>
        <w:pStyle w:val="20"/>
        <w:ind w:left="0" w:leftChars="0" w:firstLine="0" w:firstLineChars="0"/>
      </w:pPr>
    </w:p>
    <w:tbl>
      <w:tblPr>
        <w:tblStyle w:val="15"/>
        <w:tblW w:w="135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5411"/>
        <w:gridCol w:w="1134"/>
        <w:gridCol w:w="5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66"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5411"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sz w:val="18"/>
                <w:szCs w:val="18"/>
                <w:highlight w:val="none"/>
                <w:lang w:val="en"/>
              </w:rPr>
            </w:pPr>
            <w:r>
              <w:rPr>
                <w:rFonts w:ascii="仿宋_GB2312" w:hAnsi="仿宋_GB2312" w:eastAsia="仿宋_GB2312"/>
                <w:color w:val="000000"/>
                <w:sz w:val="18"/>
                <w:szCs w:val="18"/>
                <w:highlight w:val="none"/>
                <w:lang w:val="en"/>
              </w:rPr>
              <w:t>18</w:t>
            </w:r>
          </w:p>
        </w:tc>
        <w:tc>
          <w:tcPr>
            <w:tcW w:w="1134" w:type="dxa"/>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cs="Times New Roman"/>
                <w:sz w:val="18"/>
                <w:szCs w:val="18"/>
                <w:highlight w:val="none"/>
              </w:rPr>
            </w:pPr>
            <w:r>
              <w:rPr>
                <w:rFonts w:hint="eastAsia" w:ascii="方正黑体_GBK" w:hAnsi="方正黑体_GBK" w:eastAsia="方正黑体_GBK" w:cs="方正黑体_GBK"/>
                <w:sz w:val="18"/>
                <w:szCs w:val="18"/>
                <w:highlight w:val="none"/>
              </w:rPr>
              <w:t>事项代码</w:t>
            </w:r>
          </w:p>
        </w:tc>
        <w:tc>
          <w:tcPr>
            <w:tcW w:w="5945" w:type="dxa"/>
            <w:noWrap w:val="0"/>
            <w:vAlign w:val="center"/>
          </w:tcPr>
          <w:p>
            <w:pPr>
              <w:keepNext w:val="0"/>
              <w:keepLines w:val="0"/>
              <w:pageBreakBefore w:val="0"/>
              <w:widowControl/>
              <w:kinsoku/>
              <w:wordWrap/>
              <w:overflowPunct/>
              <w:topLinePunct w:val="0"/>
              <w:autoSpaceDE/>
              <w:bidi w:val="0"/>
              <w:adjustRightInd w:val="0"/>
              <w:snapToGrid w:val="0"/>
              <w:spacing w:line="240" w:lineRule="auto"/>
              <w:jc w:val="center"/>
              <w:rPr>
                <w:sz w:val="18"/>
                <w:szCs w:val="18"/>
                <w:highlight w:val="none"/>
              </w:rPr>
            </w:pPr>
            <w:r>
              <w:rPr>
                <w:rFonts w:hint="eastAsia" w:ascii="仿宋_GB2312" w:hAnsi="仿宋_GB2312" w:eastAsia="仿宋_GB2312"/>
                <w:color w:val="FF0000"/>
                <w:sz w:val="18"/>
                <w:szCs w:val="18"/>
                <w:highlight w:val="none"/>
              </w:rPr>
              <w:t>330280004000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490" w:type="dxa"/>
            <w:gridSpan w:val="3"/>
            <w:noWrap w:val="0"/>
            <w:vAlign w:val="center"/>
          </w:tcPr>
          <w:p>
            <w:pPr>
              <w:autoSpaceDN w:val="0"/>
              <w:spacing w:line="240" w:lineRule="exact"/>
              <w:jc w:val="left"/>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lang w:val="en"/>
              </w:rPr>
              <w:t>对危害人防工程及设施安全或者降低人防工程防护能力行为的行政处罚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490" w:type="dxa"/>
            <w:gridSpan w:val="3"/>
            <w:noWrap w:val="0"/>
            <w:vAlign w:val="center"/>
          </w:tcPr>
          <w:p>
            <w:pPr>
              <w:autoSpaceDN w:val="0"/>
              <w:spacing w:line="240" w:lineRule="exact"/>
              <w:ind w:firstLine="361" w:firstLineChars="200"/>
              <w:jc w:val="left"/>
              <w:textAlignment w:val="center"/>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1.</w:t>
            </w:r>
            <w:r>
              <w:rPr>
                <w:rFonts w:hint="eastAsia" w:ascii="仿宋_GB2312" w:hAnsi="仿宋_GB2312" w:eastAsia="仿宋_GB2312"/>
                <w:b/>
                <w:bCs/>
                <w:color w:val="000000"/>
                <w:sz w:val="18"/>
                <w:szCs w:val="18"/>
                <w:highlight w:val="none"/>
              </w:rPr>
              <w:t>《中华人民共和国人民防空法》</w:t>
            </w:r>
          </w:p>
          <w:p>
            <w:pPr>
              <w:autoSpaceDN w:val="0"/>
              <w:spacing w:line="260" w:lineRule="exact"/>
              <w:ind w:firstLine="360" w:firstLineChars="200"/>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第四十九条 第一款 有下列行为之一的，由县级以上人民政府人民防空主管部门对当事人给予警告，并责令限期改正违法行为，可以对个人并处五千元以下的罚款、对单位并处一万元至五万元的罚款；造成损失的，应当依法赔偿损失：……（三）违反国家有关规定，改变人民防空工程主体结构、拆除人民防空工程设备设施或者采用其他方法危害人民防空工程的安全和使用效能的</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……（七）向人民防空工程内排入废水、废气或者倾倒废弃物的。</w:t>
            </w:r>
          </w:p>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ascii="仿宋_GB2312" w:hAnsi="仿宋_GB2312" w:eastAsia="仿宋_GB2312"/>
                <w:b/>
                <w:bCs/>
                <w:color w:val="000000"/>
                <w:sz w:val="18"/>
                <w:szCs w:val="18"/>
                <w:highlight w:val="none"/>
                <w:lang w:val="en"/>
              </w:rPr>
              <w:t>2.</w:t>
            </w:r>
            <w:r>
              <w:rPr>
                <w:rFonts w:hint="eastAsia" w:ascii="仿宋_GB2312" w:hAnsi="仿宋_GB2312" w:eastAsia="仿宋_GB2312"/>
                <w:b/>
                <w:bCs/>
                <w:color w:val="000000"/>
                <w:sz w:val="18"/>
                <w:szCs w:val="18"/>
                <w:highlight w:val="none"/>
              </w:rPr>
              <w:t>《浙江省实施&lt;中华人民共和国人民防空法&gt;办法》</w:t>
            </w:r>
          </w:p>
          <w:p>
            <w:pPr>
              <w:autoSpaceDN w:val="0"/>
              <w:spacing w:line="260" w:lineRule="exact"/>
              <w:ind w:firstLine="360" w:firstLineChars="200"/>
              <w:textAlignment w:val="bottom"/>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第二十六条 禁止下列危害人民防空工程及设施安全或者降低其防护能力的行为：（一）在危及人民防空工程安全范围内进行采石、取土、爆破、钻探、打桩、挖洞、开沟等降低人民防空工程防护能力的作业；（二）在人民防空工程机动车辆进出和正常使用的范围内设置障碍或者新建建筑物、构筑物；（三）向人民防空工程内排放废水、废气或者倾倒废弃物；（四）毁损人民防空工程孔口的防洪、防灌设施，堵塞或者截断人民防空工程的进排风竖井或者管道；（五）其他危害人民防空工程及设施安全或者降低人民防空工程防护能力的行为。</w:t>
            </w:r>
          </w:p>
          <w:p>
            <w:pPr>
              <w:autoSpaceDN w:val="0"/>
              <w:spacing w:line="260" w:lineRule="exact"/>
              <w:ind w:firstLine="360" w:firstLineChars="200"/>
              <w:textAlignment w:val="bottom"/>
              <w:rPr>
                <w:rFonts w:hint="eastAsia" w:ascii="仿宋_GB2312" w:hAnsi="仿宋_GB2312" w:eastAsia="仿宋_GB2312" w:cs="Times New Roman"/>
                <w:b/>
                <w:color w:val="000000"/>
                <w:sz w:val="18"/>
                <w:szCs w:val="18"/>
                <w:highlight w:val="none"/>
              </w:rPr>
            </w:pPr>
            <w:r>
              <w:rPr>
                <w:rFonts w:hint="eastAsia" w:ascii="仿宋_GB2312" w:hAnsi="仿宋_GB2312" w:eastAsia="仿宋_GB2312"/>
                <w:color w:val="000000"/>
                <w:sz w:val="18"/>
                <w:szCs w:val="18"/>
                <w:highlight w:val="none"/>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66"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490" w:type="dxa"/>
            <w:gridSpan w:val="3"/>
            <w:noWrap w:val="0"/>
            <w:vAlign w:val="center"/>
          </w:tcPr>
          <w:p>
            <w:pPr>
              <w:spacing w:line="240" w:lineRule="exact"/>
              <w:jc w:val="left"/>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556"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6"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危害人防工程及设施安全、影响人防工程使用或者降低人防工程防护能力轻微的。</w:t>
            </w:r>
          </w:p>
        </w:tc>
        <w:tc>
          <w:tcPr>
            <w:tcW w:w="1134"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危害人防工程及设施安全、影响人防工程使用或者降低人防工程防护能力一般的。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危害人防工程及设施安全、影响人防工程使用或者降低人防工程防护能力较重的。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危害人防工程及设施安全、影响人防工程使用或者降低人防工程防护能力严重的。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6"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41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危害人防工程及设施安全、影响人防工程使用或者降低人防工程防护能力特别严重的。</w:t>
            </w:r>
          </w:p>
        </w:tc>
        <w:tc>
          <w:tcPr>
            <w:tcW w:w="1134"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5945"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给予警告；责令限期改正；对个人并处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千元至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千元罚款、对单位并处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rPr>
              <w:t>万元至</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rPr>
              <w:t>万元罚款。</w:t>
            </w:r>
          </w:p>
        </w:tc>
      </w:tr>
    </w:tbl>
    <w:p>
      <w:pPr>
        <w:rPr>
          <w:highlight w:val="none"/>
        </w:rPr>
      </w:pPr>
      <w:r>
        <w:rPr>
          <w:sz w:val="44"/>
        </w:rPr>
        <mc:AlternateContent>
          <mc:Choice Requires="wps">
            <w:drawing>
              <wp:anchor distT="0" distB="0" distL="114300" distR="114300" simplePos="0" relativeHeight="376337408" behindDoc="0" locked="0" layoutInCell="1" allowOverlap="1">
                <wp:simplePos x="0" y="0"/>
                <wp:positionH relativeFrom="column">
                  <wp:posOffset>-568325</wp:posOffset>
                </wp:positionH>
                <wp:positionV relativeFrom="paragraph">
                  <wp:posOffset>160020</wp:posOffset>
                </wp:positionV>
                <wp:extent cx="443230" cy="793750"/>
                <wp:effectExtent l="0" t="0" r="13970" b="6350"/>
                <wp:wrapNone/>
                <wp:docPr id="55" name="文本框 55"/>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19</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4.75pt;margin-top:12.6pt;height:62.5pt;width:34.9pt;z-index:376337408;mso-width-relative:page;mso-height-relative:page;" fillcolor="#FFFFFF" filled="t" stroked="f" coordsize="21600,21600" o:gfxdata="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P+WDdgA&#10;AAAKAQAADwAAAAAAAAABACAAAAA4AAAAZHJzL2Rvd25yZXYueG1sUEsBAhQAFAAAAAgAh07iQAtz&#10;+z5CAgAAZAQAAA4AAAAAAAAAAQAgAAAAPQ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19</w:t>
                      </w:r>
                      <w:r>
                        <w:rPr>
                          <w:rStyle w:val="18"/>
                          <w:sz w:val="28"/>
                          <w:szCs w:val="28"/>
                        </w:rPr>
                        <w:t xml:space="preserve"> —</w:t>
                      </w:r>
                    </w:p>
                    <w:p>
                      <w:pPr>
                        <w:rPr>
                          <w:rFonts w:hint="default"/>
                          <w:lang w:val="en-US" w:eastAsia="zh-CN"/>
                        </w:rPr>
                      </w:pPr>
                    </w:p>
                  </w:txbxContent>
                </v:textbox>
              </v:shape>
            </w:pict>
          </mc:Fallback>
        </mc:AlternateContent>
      </w:r>
    </w:p>
    <w:p>
      <w:pPr>
        <w:rPr>
          <w:highlight w:val="none"/>
        </w:rPr>
      </w:pPr>
      <w:r>
        <w:rPr>
          <w:highlight w:val="none"/>
        </w:rPr>
        <w:br w:type="page"/>
      </w:r>
    </w:p>
    <w:p>
      <w:pPr>
        <w:pStyle w:val="2"/>
      </w:pPr>
      <w:r>
        <w:rPr>
          <w:sz w:val="44"/>
        </w:rPr>
        <mc:AlternateContent>
          <mc:Choice Requires="wps">
            <w:drawing>
              <wp:anchor distT="0" distB="0" distL="114300" distR="114300" simplePos="0" relativeHeight="394148864" behindDoc="0" locked="0" layoutInCell="1" allowOverlap="1">
                <wp:simplePos x="0" y="0"/>
                <wp:positionH relativeFrom="column">
                  <wp:posOffset>-521335</wp:posOffset>
                </wp:positionH>
                <wp:positionV relativeFrom="paragraph">
                  <wp:posOffset>-406400</wp:posOffset>
                </wp:positionV>
                <wp:extent cx="466090" cy="758825"/>
                <wp:effectExtent l="0" t="0" r="10160" b="3175"/>
                <wp:wrapNone/>
                <wp:docPr id="56" name="文本框 56"/>
                <wp:cNvGraphicFramePr/>
                <a:graphic xmlns:a="http://schemas.openxmlformats.org/drawingml/2006/main">
                  <a:graphicData uri="http://schemas.microsoft.com/office/word/2010/wordprocessingShape">
                    <wps:wsp>
                      <wps:cNvSpPr txBox="true"/>
                      <wps:spPr>
                        <a:xfrm>
                          <a:off x="0" y="0"/>
                          <a:ext cx="466090" cy="75882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20</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05pt;margin-top:-32pt;height:59.75pt;width:36.7pt;z-index:394148864;mso-width-relative:page;mso-height-relative:page;" fillcolor="#FFFFFF" filled="t" stroked="f" coordsize="21600,21600" o:gfxdata="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F7I+n3Y&#10;AAAACQEAAA8AAAAAAAAAAQAgAAAAOAAAAGRycy9kb3ducmV2LnhtbFBLAQIUABQAAAAIAIdO4kBA&#10;+fBMQwIAAGQEAAAOAAAAAAAAAAEAIAAAAD0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20</w:t>
                      </w:r>
                      <w:r>
                        <w:rPr>
                          <w:rStyle w:val="18"/>
                          <w:sz w:val="28"/>
                          <w:szCs w:val="28"/>
                        </w:rPr>
                        <w:t xml:space="preserve"> —</w:t>
                      </w:r>
                    </w:p>
                    <w:p>
                      <w:pPr>
                        <w:rPr>
                          <w:rFonts w:hint="default"/>
                          <w:lang w:val="en-US" w:eastAsia="zh-CN"/>
                        </w:rPr>
                      </w:pPr>
                    </w:p>
                  </w:txbxContent>
                </v:textbox>
              </v:shape>
            </w:pict>
          </mc:Fallback>
        </mc:AlternateContent>
      </w:r>
    </w:p>
    <w:tbl>
      <w:tblPr>
        <w:tblStyle w:val="15"/>
        <w:tblW w:w="13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4253"/>
        <w:gridCol w:w="945"/>
        <w:gridCol w:w="7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25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18"/>
                <w:szCs w:val="18"/>
                <w:highlight w:val="none"/>
                <w:lang w:val="en"/>
              </w:rPr>
            </w:pPr>
            <w:r>
              <w:rPr>
                <w:rFonts w:ascii="仿宋_GB2312" w:hAnsi="仿宋_GB2312" w:eastAsia="仿宋_GB2312"/>
                <w:color w:val="000000"/>
                <w:sz w:val="18"/>
                <w:szCs w:val="18"/>
                <w:highlight w:val="none"/>
                <w:lang w:val="en"/>
              </w:rPr>
              <w:t>19</w:t>
            </w:r>
          </w:p>
        </w:tc>
        <w:tc>
          <w:tcPr>
            <w:tcW w:w="94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事项代码</w:t>
            </w:r>
          </w:p>
        </w:tc>
        <w:tc>
          <w:tcPr>
            <w:tcW w:w="71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sz w:val="18"/>
                <w:szCs w:val="18"/>
                <w:highlight w:val="none"/>
              </w:rPr>
            </w:pPr>
            <w:r>
              <w:rPr>
                <w:rFonts w:hint="eastAsia" w:ascii="仿宋_GB2312" w:hAnsi="仿宋_GB2312" w:eastAsia="仿宋_GB2312"/>
                <w:color w:val="000000"/>
                <w:sz w:val="18"/>
                <w:szCs w:val="18"/>
                <w:highlight w:val="none"/>
              </w:rPr>
              <w:t>330280003000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4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2339"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lang w:eastAsia="zh-CN"/>
              </w:rPr>
            </w:pPr>
            <w:r>
              <w:rPr>
                <w:rFonts w:hint="eastAsia" w:ascii="仿宋_GB2312" w:hAnsi="仿宋_GB2312" w:eastAsia="仿宋_GB2312" w:cs="黑体"/>
                <w:color w:val="000000"/>
                <w:sz w:val="18"/>
                <w:szCs w:val="18"/>
                <w:highlight w:val="none"/>
                <w:lang w:eastAsia="zh-CN"/>
              </w:rPr>
              <w:t>对擅自施工造成人防警报设施损坏或擅自迁移人民防空警报设施的行政处罚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945"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2339"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《浙江省人民防空警报设施管理办法》</w:t>
            </w:r>
          </w:p>
          <w:p>
            <w:pPr>
              <w:autoSpaceDN w:val="0"/>
              <w:spacing w:line="260" w:lineRule="exact"/>
              <w:ind w:firstLine="360" w:firstLineChars="200"/>
              <w:textAlignment w:val="center"/>
              <w:rPr>
                <w:rFonts w:hint="eastAsia"/>
                <w:highlight w:val="none"/>
              </w:rPr>
            </w:pPr>
            <w:r>
              <w:rPr>
                <w:rFonts w:hint="eastAsia" w:ascii="仿宋_GB2312" w:hAnsi="仿宋_GB2312" w:eastAsia="仿宋_GB2312"/>
                <w:color w:val="000000"/>
                <w:sz w:val="18"/>
                <w:szCs w:val="18"/>
                <w:highlight w:val="none"/>
              </w:rPr>
              <w:t>第二十五条 违反本办法规定，有下列情形之一的，由人民防空主管部门给予警告，责令限期改正,可以对个人并处1000元以下罚款，对单位并处1000元以上10000元以下罚款；造成损失的，应当依法赔偿损失：（一）工程建设涉及人民防空警报设施安全，未向人民防空主管部门报告，擅自施工造成人民防空警报设施损坏的</w:t>
            </w:r>
            <w:r>
              <w:rPr>
                <w:rFonts w:hint="eastAsia" w:ascii="仿宋_GB2312" w:hAnsi="仿宋_GB2312" w:eastAsia="仿宋_GB2312"/>
                <w:color w:val="000000"/>
                <w:sz w:val="18"/>
                <w:szCs w:val="18"/>
                <w:highlight w:val="none"/>
                <w:lang w:eastAsia="zh-CN"/>
              </w:rPr>
              <w:t>；</w:t>
            </w:r>
            <w:r>
              <w:rPr>
                <w:rFonts w:hint="eastAsia" w:ascii="仿宋_GB2312" w:hAnsi="仿宋_GB2312" w:eastAsia="仿宋_GB2312"/>
                <w:color w:val="000000"/>
                <w:sz w:val="18"/>
                <w:szCs w:val="18"/>
                <w:highlight w:val="none"/>
              </w:rPr>
              <w:t>（二)擅自迁移人民防空警报设施的。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4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233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cs="Times New Roman"/>
                <w:sz w:val="18"/>
                <w:szCs w:val="18"/>
                <w:highlight w:val="none"/>
              </w:rPr>
            </w:pPr>
            <w:r>
              <w:rPr>
                <w:rFonts w:hint="eastAsia" w:ascii="仿宋_GB2312" w:hAnsi="仿宋_GB2312" w:eastAsia="仿宋_GB2312"/>
                <w:color w:val="000000"/>
                <w:sz w:val="18"/>
                <w:szCs w:val="18"/>
                <w:highlight w:val="none"/>
              </w:rPr>
              <w:t>警告、罚款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284"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45"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color w:val="000000"/>
                <w:sz w:val="18"/>
                <w:szCs w:val="18"/>
                <w:highlight w:val="none"/>
              </w:rPr>
            </w:pPr>
            <w:r>
              <w:rPr>
                <w:rFonts w:hint="eastAsia" w:ascii="方正黑体_GBK" w:hAnsi="方正黑体_GBK" w:eastAsia="方正黑体_GBK" w:cs="方正黑体_GBK"/>
                <w:sz w:val="18"/>
                <w:szCs w:val="18"/>
                <w:highlight w:val="none"/>
              </w:rPr>
              <w:t>违法情节</w:t>
            </w:r>
          </w:p>
        </w:tc>
        <w:tc>
          <w:tcPr>
            <w:tcW w:w="4253"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rPr>
            </w:pPr>
            <w:r>
              <w:rPr>
                <w:rFonts w:hint="eastAsia" w:ascii="仿宋_GB2312" w:hAnsi="仿宋_GB2312" w:eastAsia="仿宋_GB2312"/>
                <w:color w:val="000000"/>
                <w:sz w:val="18"/>
                <w:szCs w:val="18"/>
                <w:highlight w:val="none"/>
              </w:rPr>
              <w:t>未造成损坏或未影响正常使用的。</w:t>
            </w:r>
          </w:p>
        </w:tc>
        <w:tc>
          <w:tcPr>
            <w:tcW w:w="945" w:type="dxa"/>
            <w:vMerge w:val="restart"/>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7141" w:type="dxa"/>
            <w:noWrap w:val="0"/>
            <w:vAlign w:val="center"/>
          </w:tcPr>
          <w:p>
            <w:pPr>
              <w:autoSpaceDN w:val="0"/>
              <w:spacing w:line="260" w:lineRule="exact"/>
              <w:textAlignment w:val="center"/>
              <w:rPr>
                <w:rFonts w:hint="eastAsia"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千元至</w:t>
            </w:r>
            <w:r>
              <w:rPr>
                <w:rFonts w:hint="eastAsia" w:ascii="仿宋_GB2312" w:hAnsi="仿宋_GB2312" w:eastAsia="仿宋_GB2312"/>
                <w:color w:val="000000"/>
                <w:sz w:val="18"/>
                <w:szCs w:val="18"/>
                <w:highlight w:val="none"/>
              </w:rPr>
              <w:t>2</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w:t>
            </w:r>
            <w:r>
              <w:rPr>
                <w:rFonts w:hint="default" w:ascii="仿宋_GB2312" w:hAnsi="仿宋_GB2312" w:eastAsia="仿宋_GB2312"/>
                <w:color w:val="000000"/>
                <w:sz w:val="18"/>
                <w:szCs w:val="18"/>
                <w:highlight w:val="none"/>
                <w:lang w:val="en"/>
              </w:rPr>
              <w:t>10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2</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1</w:t>
            </w:r>
            <w:r>
              <w:rPr>
                <w:rFonts w:ascii="仿宋_GB2312" w:hAnsi="仿宋_GB2312" w:eastAsia="仿宋_GB2312"/>
                <w:color w:val="000000"/>
                <w:sz w:val="18"/>
                <w:szCs w:val="18"/>
                <w:highlight w:val="none"/>
                <w:lang w:val="en"/>
              </w:rPr>
              <w:t>000</w:t>
            </w:r>
            <w:r>
              <w:rPr>
                <w:rFonts w:hint="default" w:ascii="仿宋_GB2312" w:hAnsi="仿宋_GB2312" w:eastAsia="仿宋_GB2312"/>
                <w:color w:val="000000"/>
                <w:sz w:val="18"/>
                <w:szCs w:val="18"/>
                <w:highlight w:val="none"/>
                <w:lang w:val="en"/>
              </w:rPr>
              <w:t>0</w:t>
            </w:r>
            <w:r>
              <w:rPr>
                <w:rFonts w:hint="eastAsia" w:ascii="仿宋_GB2312" w:hAnsi="仿宋_GB2312" w:eastAsia="仿宋_GB2312"/>
                <w:color w:val="000000"/>
                <w:sz w:val="18"/>
                <w:szCs w:val="18"/>
                <w:highlight w:val="none"/>
                <w:lang w:val="en"/>
              </w:rPr>
              <w:t>元以上</w:t>
            </w:r>
            <w:r>
              <w:rPr>
                <w:rFonts w:hint="eastAsia" w:ascii="仿宋_GB2312" w:hAnsi="仿宋_GB2312" w:eastAsia="仿宋_GB2312"/>
                <w:color w:val="000000"/>
                <w:sz w:val="18"/>
                <w:szCs w:val="18"/>
                <w:highlight w:val="none"/>
              </w:rPr>
              <w:t>1</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4</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造成损失1</w:t>
            </w:r>
            <w:r>
              <w:rPr>
                <w:rFonts w:hint="default" w:ascii="仿宋_GB2312" w:hAnsi="仿宋_GB2312" w:eastAsia="仿宋_GB2312"/>
                <w:color w:val="000000"/>
                <w:sz w:val="18"/>
                <w:szCs w:val="18"/>
                <w:highlight w:val="none"/>
                <w:lang w:val="en"/>
              </w:rPr>
              <w:t>5</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w:t>
            </w:r>
            <w:r>
              <w:rPr>
                <w:rFonts w:hint="default" w:ascii="仿宋_GB2312" w:hAnsi="仿宋_GB2312" w:eastAsia="仿宋_GB2312"/>
                <w:color w:val="000000"/>
                <w:sz w:val="18"/>
                <w:szCs w:val="18"/>
                <w:highlight w:val="none"/>
                <w:lang w:val="en"/>
              </w:rPr>
              <w:t>20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元以下的。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百元罚款，对单位处</w:t>
            </w:r>
            <w:r>
              <w:rPr>
                <w:rFonts w:ascii="仿宋_GB2312" w:hAnsi="仿宋_GB2312" w:eastAsia="仿宋_GB2312"/>
                <w:color w:val="000000"/>
                <w:sz w:val="18"/>
                <w:szCs w:val="18"/>
                <w:highlight w:val="none"/>
                <w:lang w:val="en"/>
              </w:rPr>
              <w:t>6</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千元罚款。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4253" w:type="dxa"/>
            <w:noWrap w:val="0"/>
            <w:vAlign w:val="center"/>
          </w:tcPr>
          <w:p>
            <w:pPr>
              <w:autoSpaceDN w:val="0"/>
              <w:spacing w:line="24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造成损失</w:t>
            </w:r>
            <w:r>
              <w:rPr>
                <w:rFonts w:hint="default" w:ascii="仿宋_GB2312" w:hAnsi="仿宋_GB2312" w:eastAsia="仿宋_GB2312"/>
                <w:color w:val="000000"/>
                <w:sz w:val="18"/>
                <w:szCs w:val="18"/>
                <w:highlight w:val="none"/>
                <w:lang w:val="en"/>
              </w:rPr>
              <w:t>20</w:t>
            </w:r>
            <w:r>
              <w:rPr>
                <w:rFonts w:ascii="仿宋_GB2312" w:hAnsi="仿宋_GB2312" w:eastAsia="仿宋_GB2312"/>
                <w:color w:val="000000"/>
                <w:sz w:val="18"/>
                <w:szCs w:val="18"/>
                <w:highlight w:val="none"/>
                <w:lang w:val="en"/>
              </w:rPr>
              <w:t>000</w:t>
            </w:r>
            <w:r>
              <w:rPr>
                <w:rFonts w:hint="eastAsia" w:ascii="仿宋_GB2312" w:hAnsi="仿宋_GB2312" w:eastAsia="仿宋_GB2312"/>
                <w:color w:val="000000"/>
                <w:sz w:val="18"/>
                <w:szCs w:val="18"/>
                <w:highlight w:val="none"/>
                <w:lang w:val="en"/>
              </w:rPr>
              <w:t>元以上的</w:t>
            </w:r>
          </w:p>
        </w:tc>
        <w:tc>
          <w:tcPr>
            <w:tcW w:w="945" w:type="dxa"/>
            <w:vMerge w:val="continue"/>
            <w:noWrap w:val="0"/>
            <w:vAlign w:val="center"/>
          </w:tcPr>
          <w:p>
            <w:pPr>
              <w:autoSpaceDN w:val="0"/>
              <w:spacing w:line="240" w:lineRule="exact"/>
              <w:jc w:val="left"/>
              <w:textAlignment w:val="bottom"/>
              <w:rPr>
                <w:rFonts w:hint="eastAsia" w:ascii="仿宋_GB2312" w:hAnsi="仿宋_GB2312" w:eastAsia="仿宋_GB2312"/>
                <w:color w:val="000000"/>
                <w:sz w:val="18"/>
                <w:szCs w:val="18"/>
                <w:highlight w:val="none"/>
              </w:rPr>
            </w:pPr>
          </w:p>
        </w:tc>
        <w:tc>
          <w:tcPr>
            <w:tcW w:w="7141" w:type="dxa"/>
            <w:noWrap w:val="0"/>
            <w:vAlign w:val="center"/>
          </w:tcPr>
          <w:p>
            <w:pPr>
              <w:autoSpaceDN w:val="0"/>
              <w:spacing w:line="260" w:lineRule="exact"/>
              <w:textAlignment w:val="center"/>
              <w:rPr>
                <w:rFonts w:hint="eastAsia" w:ascii="仿宋_GB2312" w:hAnsi="仿宋_GB2312" w:eastAsia="仿宋_GB2312" w:cs="Times New Roman"/>
                <w:color w:val="000000"/>
                <w:sz w:val="18"/>
                <w:szCs w:val="18"/>
                <w:highlight w:val="none"/>
                <w:lang w:val="en"/>
              </w:rPr>
            </w:pPr>
            <w:r>
              <w:rPr>
                <w:rFonts w:hint="eastAsia" w:ascii="仿宋_GB2312" w:hAnsi="仿宋_GB2312" w:eastAsia="仿宋_GB2312"/>
                <w:color w:val="000000"/>
                <w:sz w:val="18"/>
                <w:szCs w:val="18"/>
                <w:highlight w:val="none"/>
                <w:lang w:val="en"/>
              </w:rPr>
              <w:t>给予警告，责令限期改正</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rPr>
              <w:t>对个人处</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百元至</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千元罚款，对单位处</w:t>
            </w:r>
            <w:r>
              <w:rPr>
                <w:rFonts w:ascii="仿宋_GB2312" w:hAnsi="仿宋_GB2312" w:eastAsia="仿宋_GB2312"/>
                <w:color w:val="000000"/>
                <w:sz w:val="18"/>
                <w:szCs w:val="18"/>
                <w:highlight w:val="none"/>
                <w:lang w:val="en"/>
              </w:rPr>
              <w:t>8</w:t>
            </w:r>
            <w:r>
              <w:rPr>
                <w:rFonts w:hint="eastAsia" w:ascii="仿宋_GB2312" w:hAnsi="仿宋_GB2312" w:eastAsia="仿宋_GB2312"/>
                <w:color w:val="000000"/>
                <w:sz w:val="18"/>
                <w:szCs w:val="18"/>
                <w:highlight w:val="none"/>
                <w:lang w:val="en"/>
              </w:rPr>
              <w:t>千元至</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万元以下罚款。</w:t>
            </w:r>
          </w:p>
        </w:tc>
      </w:tr>
    </w:tbl>
    <w:p>
      <w:pPr>
        <w:rPr>
          <w:vanish/>
          <w:highlight w:val="none"/>
        </w:rPr>
      </w:pPr>
      <w:r>
        <w:rPr>
          <w:highlight w:val="none"/>
        </w:rPr>
        <w:br w:type="page"/>
      </w:r>
    </w:p>
    <w:tbl>
      <w:tblPr>
        <w:tblStyle w:val="15"/>
        <w:tblpPr w:leftFromText="180" w:rightFromText="180" w:vertAnchor="text" w:horzAnchor="page" w:tblpXSpec="center" w:tblpY="310"/>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4798"/>
        <w:gridCol w:w="1092"/>
        <w:gridCol w:w="5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48"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79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20</w:t>
            </w:r>
          </w:p>
        </w:tc>
        <w:tc>
          <w:tcPr>
            <w:tcW w:w="10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593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FF0000"/>
                <w:sz w:val="18"/>
                <w:szCs w:val="18"/>
                <w:highlight w:val="none"/>
              </w:rPr>
              <w:t>330280043000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824"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对人防工程维护管理责任单位不落实人民防空工程平战转换要求的行政处罚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824" w:type="dxa"/>
            <w:gridSpan w:val="3"/>
            <w:noWrap w:val="0"/>
            <w:vAlign w:val="center"/>
          </w:tcPr>
          <w:p>
            <w:pPr>
              <w:autoSpaceDN w:val="0"/>
              <w:spacing w:line="260" w:lineRule="exact"/>
              <w:ind w:firstLine="361" w:firstLineChars="200"/>
              <w:textAlignment w:val="center"/>
              <w:rPr>
                <w:rFonts w:hint="eastAsia" w:ascii="仿宋_GB2312" w:hAnsi="仿宋_GB2312" w:eastAsia="仿宋_GB2312"/>
                <w:b/>
                <w:bCs/>
                <w:color w:val="000000"/>
                <w:sz w:val="18"/>
                <w:szCs w:val="18"/>
                <w:highlight w:val="none"/>
              </w:rPr>
            </w:pPr>
            <w:r>
              <w:rPr>
                <w:rFonts w:hint="eastAsia" w:ascii="仿宋_GB2312" w:hAnsi="仿宋_GB2312" w:eastAsia="仿宋_GB2312"/>
                <w:b/>
                <w:bCs/>
                <w:color w:val="000000"/>
                <w:sz w:val="18"/>
                <w:szCs w:val="18"/>
                <w:highlight w:val="none"/>
              </w:rPr>
              <w:t xml:space="preserve">《浙江省人民防空工程管理办法》                            </w:t>
            </w:r>
          </w:p>
          <w:p>
            <w:pPr>
              <w:autoSpaceDN w:val="0"/>
              <w:spacing w:line="260" w:lineRule="exact"/>
              <w:ind w:firstLine="360" w:firstLineChars="200"/>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第三十五条</w:t>
            </w:r>
            <w:r>
              <w:rPr>
                <w:rFonts w:ascii="仿宋_GB2312" w:hAnsi="仿宋_GB2312" w:eastAsia="仿宋_GB2312"/>
                <w:color w:val="000000"/>
                <w:sz w:val="18"/>
                <w:szCs w:val="18"/>
                <w:highlight w:val="none"/>
                <w:lang w:val="en"/>
              </w:rPr>
              <w:t xml:space="preserve"> </w:t>
            </w:r>
            <w:r>
              <w:rPr>
                <w:rFonts w:hint="eastAsia" w:ascii="仿宋_GB2312" w:hAnsi="仿宋_GB2312" w:eastAsia="仿宋_GB2312"/>
                <w:color w:val="000000"/>
                <w:sz w:val="18"/>
                <w:szCs w:val="18"/>
                <w:highlight w:val="none"/>
              </w:rPr>
              <w:t>第二款 人民防空工程平战转换责任单位应当根据人民防空工程战时使用方案，完善和落实平战转换实施方案，明确人员职责并开展技能培训，做好平战转换准备。</w:t>
            </w:r>
          </w:p>
          <w:p>
            <w:pPr>
              <w:autoSpaceDN w:val="0"/>
              <w:spacing w:line="260" w:lineRule="exact"/>
              <w:ind w:firstLine="360" w:firstLineChars="200"/>
              <w:textAlignment w:val="center"/>
              <w:rPr>
                <w:rFonts w:hint="eastAsia"/>
                <w:highlight w:val="none"/>
              </w:rPr>
            </w:pPr>
            <w:r>
              <w:rPr>
                <w:rFonts w:hint="eastAsia" w:ascii="仿宋_GB2312" w:hAnsi="仿宋_GB2312" w:eastAsia="仿宋_GB2312"/>
                <w:color w:val="000000"/>
                <w:sz w:val="18"/>
                <w:szCs w:val="18"/>
                <w:highlight w:val="none"/>
              </w:rPr>
              <w:t>第三十九条　有关单位和个人未按照本办法第三十五条第二款的规定落实人民防空工程平战转换要求的，由人民防空主管部门责令限期改正；未在规定期限内改正的，对个人处5000元以下罚款，对单位处1万元以上3万元以下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824"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rFonts w:hint="eastAsia"/>
                <w:sz w:val="18"/>
                <w:szCs w:val="18"/>
                <w:highlight w:val="none"/>
              </w:rPr>
            </w:pPr>
            <w:r>
              <w:rPr>
                <w:rFonts w:hint="eastAsia" w:ascii="仿宋_GB2312" w:hAnsi="仿宋_GB2312" w:eastAsia="仿宋_GB2312"/>
                <w:color w:val="000000"/>
                <w:sz w:val="18"/>
                <w:szCs w:val="18"/>
                <w:highlight w:val="none"/>
                <w:lang w:val="en"/>
              </w:rPr>
              <w:t>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972" w:type="dxa"/>
            <w:gridSpan w:val="4"/>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48" w:type="dxa"/>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798"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未在规定期限内改正的。</w:t>
            </w:r>
          </w:p>
        </w:tc>
        <w:tc>
          <w:tcPr>
            <w:tcW w:w="1092" w:type="dxa"/>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5934" w:type="dxa"/>
            <w:noWrap w:val="0"/>
            <w:vAlign w:val="center"/>
          </w:tcPr>
          <w:p>
            <w:pPr>
              <w:autoSpaceDN w:val="0"/>
              <w:spacing w:line="260" w:lineRule="exact"/>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000000"/>
                <w:sz w:val="18"/>
                <w:szCs w:val="18"/>
                <w:highlight w:val="none"/>
                <w:lang w:val="en"/>
              </w:rPr>
              <w:t>对个人处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千元＋</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百元罚款，最高不超过</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千元；对单位处</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lang w:val="en"/>
              </w:rPr>
              <w:t>万元＋</w:t>
            </w:r>
            <w:r>
              <w:rPr>
                <w:rFonts w:hint="eastAsia" w:ascii="仿宋_GB2312" w:hAnsi="仿宋_GB2312" w:eastAsia="仿宋_GB2312"/>
                <w:color w:val="000000"/>
                <w:sz w:val="18"/>
                <w:szCs w:val="18"/>
                <w:highlight w:val="none"/>
              </w:rPr>
              <w:t>（</w:t>
            </w:r>
            <w:r>
              <w:rPr>
                <w:rFonts w:hint="eastAsia" w:ascii="仿宋_GB2312" w:hAnsi="仿宋_GB2312" w:eastAsia="仿宋_GB2312"/>
                <w:color w:val="000000"/>
                <w:sz w:val="18"/>
                <w:szCs w:val="18"/>
                <w:highlight w:val="none"/>
                <w:lang w:val="en"/>
              </w:rPr>
              <w:t>逾期天数</w:t>
            </w:r>
            <w:r>
              <w:rPr>
                <w:rFonts w:ascii="仿宋_GB2312" w:hAnsi="仿宋_GB2312" w:eastAsia="仿宋_GB2312"/>
                <w:color w:val="000000"/>
                <w:sz w:val="18"/>
                <w:szCs w:val="18"/>
                <w:highlight w:val="none"/>
                <w:lang w:val="en"/>
              </w:rPr>
              <w:t>-1</w:t>
            </w:r>
            <w:r>
              <w:rPr>
                <w:rFonts w:hint="eastAsia" w:ascii="仿宋_GB2312" w:hAnsi="仿宋_GB2312" w:eastAsia="仿宋_GB2312"/>
                <w:color w:val="000000"/>
                <w:sz w:val="18"/>
                <w:szCs w:val="18"/>
                <w:highlight w:val="none"/>
              </w:rPr>
              <w:t>）</w:t>
            </w:r>
            <w:r>
              <w:rPr>
                <w:rFonts w:ascii="仿宋_GB2312" w:hAnsi="仿宋_GB2312" w:eastAsia="仿宋_GB2312"/>
                <w:color w:val="000000"/>
                <w:sz w:val="18"/>
                <w:szCs w:val="18"/>
                <w:highlight w:val="none"/>
                <w:lang w:val="en"/>
              </w:rPr>
              <w:t>*</w:t>
            </w:r>
            <w:r>
              <w:rPr>
                <w:rFonts w:hint="eastAsia" w:ascii="仿宋_GB2312" w:hAnsi="仿宋_GB2312" w:eastAsia="仿宋_GB2312"/>
                <w:color w:val="000000"/>
                <w:sz w:val="18"/>
                <w:szCs w:val="18"/>
                <w:highlight w:val="none"/>
                <w:lang w:val="en"/>
              </w:rPr>
              <w:t>２千</w:t>
            </w:r>
            <w:r>
              <w:rPr>
                <w:rFonts w:ascii="仿宋_GB2312" w:hAnsi="仿宋_GB2312" w:eastAsia="仿宋_GB2312"/>
                <w:color w:val="000000"/>
                <w:sz w:val="18"/>
                <w:szCs w:val="18"/>
                <w:highlight w:val="none"/>
                <w:lang w:val="en"/>
              </w:rPr>
              <w:t>5</w:t>
            </w:r>
            <w:r>
              <w:rPr>
                <w:rFonts w:hint="eastAsia" w:ascii="仿宋_GB2312" w:hAnsi="仿宋_GB2312" w:eastAsia="仿宋_GB2312"/>
                <w:color w:val="000000"/>
                <w:sz w:val="18"/>
                <w:szCs w:val="18"/>
                <w:highlight w:val="none"/>
                <w:lang w:val="en"/>
              </w:rPr>
              <w:t>百元罚款，最高不超过</w:t>
            </w:r>
            <w:r>
              <w:rPr>
                <w:rFonts w:ascii="仿宋_GB2312" w:hAnsi="仿宋_GB2312" w:eastAsia="仿宋_GB2312"/>
                <w:color w:val="000000"/>
                <w:sz w:val="18"/>
                <w:szCs w:val="18"/>
                <w:highlight w:val="none"/>
                <w:lang w:val="en"/>
              </w:rPr>
              <w:t>3</w:t>
            </w:r>
            <w:r>
              <w:rPr>
                <w:rFonts w:hint="eastAsia" w:ascii="仿宋_GB2312" w:hAnsi="仿宋_GB2312" w:eastAsia="仿宋_GB2312"/>
                <w:color w:val="000000"/>
                <w:sz w:val="18"/>
                <w:szCs w:val="18"/>
                <w:highlight w:val="none"/>
                <w:lang w:val="en"/>
              </w:rPr>
              <w:t>万元。</w:t>
            </w:r>
          </w:p>
        </w:tc>
      </w:tr>
    </w:tbl>
    <w:p>
      <w:pPr>
        <w:rPr>
          <w:highlight w:val="none"/>
        </w:rPr>
      </w:pPr>
    </w:p>
    <w:p>
      <w:pPr>
        <w:pStyle w:val="2"/>
        <w:ind w:left="0" w:leftChars="0" w:firstLine="0" w:firstLineChars="0"/>
        <w:rPr>
          <w:highlight w:val="none"/>
        </w:rPr>
      </w:pPr>
      <w:r>
        <w:rPr>
          <w:sz w:val="44"/>
        </w:rPr>
        <mc:AlternateContent>
          <mc:Choice Requires="wps">
            <w:drawing>
              <wp:anchor distT="0" distB="0" distL="114300" distR="114300" simplePos="0" relativeHeight="411960320" behindDoc="0" locked="0" layoutInCell="1" allowOverlap="1">
                <wp:simplePos x="0" y="0"/>
                <wp:positionH relativeFrom="column">
                  <wp:posOffset>-521335</wp:posOffset>
                </wp:positionH>
                <wp:positionV relativeFrom="paragraph">
                  <wp:posOffset>2059940</wp:posOffset>
                </wp:positionV>
                <wp:extent cx="443230" cy="767715"/>
                <wp:effectExtent l="0" t="0" r="13970" b="13335"/>
                <wp:wrapNone/>
                <wp:docPr id="57" name="文本框 57"/>
                <wp:cNvGraphicFramePr/>
                <a:graphic xmlns:a="http://schemas.openxmlformats.org/drawingml/2006/main">
                  <a:graphicData uri="http://schemas.microsoft.com/office/word/2010/wordprocessingShape">
                    <wps:wsp>
                      <wps:cNvSpPr txBox="true"/>
                      <wps:spPr>
                        <a:xfrm>
                          <a:off x="0" y="0"/>
                          <a:ext cx="443230" cy="76771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21</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05pt;margin-top:162.2pt;height:60.45pt;width:34.9pt;z-index:411960320;mso-width-relative:page;mso-height-relative:page;" fillcolor="#FFFFFF" filled="t" stroked="f" coordsize="21600,21600" o:gfxdata="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BztejLZ&#10;AAAACwEAAA8AAAAAAAAAAQAgAAAAOAAAAGRycy9kb3ducmV2LnhtbFBLAQIUABQAAAAIAIdO4kAa&#10;kn49QgIAAGQEAAAOAAAAAAAAAAEAIAAAAD4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21</w:t>
                      </w:r>
                      <w:r>
                        <w:rPr>
                          <w:rStyle w:val="18"/>
                          <w:sz w:val="28"/>
                          <w:szCs w:val="28"/>
                        </w:rPr>
                        <w:t xml:space="preserve"> —</w:t>
                      </w:r>
                    </w:p>
                    <w:p>
                      <w:pPr>
                        <w:rPr>
                          <w:rFonts w:hint="default"/>
                          <w:lang w:val="en-US" w:eastAsia="zh-CN"/>
                        </w:rPr>
                      </w:pPr>
                    </w:p>
                  </w:txbxContent>
                </v:textbox>
              </v:shape>
            </w:pict>
          </mc:Fallback>
        </mc:AlternateContent>
      </w:r>
      <w:r>
        <w:rPr>
          <w:highlight w:val="none"/>
        </w:rPr>
        <w:br w:type="page"/>
      </w:r>
    </w:p>
    <w:p>
      <w:r>
        <w:rPr>
          <w:sz w:val="44"/>
        </w:rPr>
        <mc:AlternateContent>
          <mc:Choice Requires="wps">
            <w:drawing>
              <wp:anchor distT="0" distB="0" distL="114300" distR="114300" simplePos="0" relativeHeight="429771776" behindDoc="0" locked="0" layoutInCell="1" allowOverlap="1">
                <wp:simplePos x="0" y="0"/>
                <wp:positionH relativeFrom="column">
                  <wp:posOffset>-313055</wp:posOffset>
                </wp:positionH>
                <wp:positionV relativeFrom="paragraph">
                  <wp:posOffset>-480695</wp:posOffset>
                </wp:positionV>
                <wp:extent cx="374015" cy="810895"/>
                <wp:effectExtent l="0" t="0" r="6985" b="8255"/>
                <wp:wrapNone/>
                <wp:docPr id="58" name="文本框 58"/>
                <wp:cNvGraphicFramePr/>
                <a:graphic xmlns:a="http://schemas.openxmlformats.org/drawingml/2006/main">
                  <a:graphicData uri="http://schemas.microsoft.com/office/word/2010/wordprocessingShape">
                    <wps:wsp>
                      <wps:cNvSpPr txBox="true"/>
                      <wps:spPr>
                        <a:xfrm>
                          <a:off x="0" y="0"/>
                          <a:ext cx="374015" cy="8108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22</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65pt;margin-top:-37.85pt;height:63.85pt;width:29.45pt;z-index:429771776;mso-width-relative:page;mso-height-relative:page;" fillcolor="#FFFFFF" filled="t" stroked="f" coordsize="21600,21600" o:gfxdata="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i6StA&#10;2AAAAAgBAAAPAAAAAAAAAAEAIAAAADgAAABkcnMvZG93bnJldi54bWxQSwECFAAUAAAACACHTuJA&#10;NmpZI0QCAABkBAAADgAAAAAAAAABACAAAAA9AQAAZHJzL2Uyb0RvYy54bWxQSwUGAAAAAAYABgBZ&#10;AQAA8wU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22</w:t>
                      </w:r>
                      <w:r>
                        <w:rPr>
                          <w:rStyle w:val="18"/>
                          <w:sz w:val="28"/>
                          <w:szCs w:val="28"/>
                        </w:rPr>
                        <w:t xml:space="preserve"> —</w:t>
                      </w:r>
                    </w:p>
                    <w:p>
                      <w:pPr>
                        <w:rPr>
                          <w:rFonts w:hint="default"/>
                          <w:lang w:val="en-US" w:eastAsia="zh-CN"/>
                        </w:rPr>
                      </w:pPr>
                    </w:p>
                  </w:txbxContent>
                </v:textbox>
              </v:shape>
            </w:pict>
          </mc:Fallback>
        </mc:AlternateContent>
      </w:r>
    </w:p>
    <w:tbl>
      <w:tblPr>
        <w:tblStyle w:val="15"/>
        <w:tblpPr w:leftFromText="180" w:rightFromText="180" w:vertAnchor="text" w:horzAnchor="page" w:tblpXSpec="center" w:tblpY="1"/>
        <w:tblOverlap w:val="never"/>
        <w:tblW w:w="127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3649"/>
        <w:gridCol w:w="950"/>
        <w:gridCol w:w="6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418" w:type="dxa"/>
            <w:noWrap w:val="0"/>
            <w:vAlign w:val="center"/>
          </w:tcPr>
          <w:p>
            <w:pPr>
              <w:pStyle w:val="2"/>
              <w:keepNext w:val="0"/>
              <w:keepLines w:val="0"/>
              <w:pageBreakBefore w:val="0"/>
              <w:widowControl w:val="0"/>
              <w:kinsoku/>
              <w:wordWrap/>
              <w:overflowPunct/>
              <w:topLinePunct w:val="0"/>
              <w:autoSpaceDE/>
              <w:bidi w:val="0"/>
              <w:adjustRightInd w:val="0"/>
              <w:snapToGrid w:val="0"/>
              <w:spacing w:line="240" w:lineRule="auto"/>
              <w:ind w:left="0" w:leftChars="0" w:firstLine="0" w:firstLineChars="0"/>
              <w:jc w:val="center"/>
              <w:rPr>
                <w:rFonts w:hint="eastAsia" w:ascii="方正黑体_GBK" w:hAnsi="方正黑体_GBK" w:eastAsia="方正黑体_GBK" w:cs="方正黑体_GBK"/>
                <w:sz w:val="18"/>
                <w:szCs w:val="18"/>
                <w:highlight w:val="none"/>
              </w:rPr>
            </w:pPr>
            <w:r>
              <w:rPr>
                <w:highlight w:val="none"/>
              </w:rPr>
              <w:br w:type="page"/>
            </w:r>
            <w:r>
              <w:rPr>
                <w:highlight w:val="none"/>
              </w:rPr>
              <w:br w:type="page"/>
            </w:r>
            <w:r>
              <w:rPr>
                <w:rFonts w:hint="eastAsia" w:ascii="方正黑体_GBK" w:hAnsi="方正黑体_GBK" w:eastAsia="方正黑体_GBK" w:cs="方正黑体_GBK"/>
                <w:sz w:val="18"/>
                <w:szCs w:val="18"/>
                <w:highlight w:val="none"/>
              </w:rPr>
              <w:t>序　　号</w:t>
            </w:r>
          </w:p>
        </w:tc>
        <w:tc>
          <w:tcPr>
            <w:tcW w:w="36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21</w:t>
            </w:r>
          </w:p>
        </w:tc>
        <w:tc>
          <w:tcPr>
            <w:tcW w:w="9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77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FF0000"/>
                <w:sz w:val="18"/>
                <w:szCs w:val="18"/>
                <w:highlight w:val="none"/>
              </w:rPr>
              <w:t>33028000200</w:t>
            </w:r>
            <w:r>
              <w:rPr>
                <w:rFonts w:ascii="仿宋_GB2312" w:hAnsi="仿宋_GB2312" w:eastAsia="仿宋_GB2312"/>
                <w:color w:val="FF0000"/>
                <w:sz w:val="18"/>
                <w:szCs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8" w:type="dxa"/>
            <w:noWrap w:val="0"/>
            <w:vAlign w:val="center"/>
          </w:tcPr>
          <w:p>
            <w:pPr>
              <w:spacing w:line="240" w:lineRule="exact"/>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377" w:type="dxa"/>
            <w:gridSpan w:val="3"/>
            <w:noWrap w:val="0"/>
            <w:vAlign w:val="center"/>
          </w:tcPr>
          <w:p>
            <w:pPr>
              <w:autoSpaceDN w:val="0"/>
              <w:spacing w:line="260" w:lineRule="exact"/>
              <w:textAlignment w:val="center"/>
              <w:rPr>
                <w:rFonts w:hint="eastAsia" w:ascii="仿宋_GB2312" w:hAnsi="仿宋_GB2312" w:eastAsia="仿宋_GB2312"/>
                <w:color w:val="000000"/>
                <w:sz w:val="18"/>
                <w:szCs w:val="18"/>
                <w:highlight w:val="none"/>
              </w:rPr>
            </w:pPr>
            <w:r>
              <w:rPr>
                <w:rFonts w:hint="eastAsia" w:ascii="仿宋_GB2312" w:hAnsi="仿宋_GB2312" w:eastAsia="仿宋_GB2312"/>
                <w:color w:val="000000"/>
                <w:sz w:val="18"/>
                <w:szCs w:val="18"/>
                <w:highlight w:val="none"/>
              </w:rPr>
              <w:t>对人防工程勘察、设计、施工、监理单位允许其他单位或者个人以本单位名义承揽人防工程的行政处罚（不含降低资质等级或者吊销资质证书的行政处罚）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418"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377"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w:t>
            </w:r>
            <w:r>
              <w:rPr>
                <w:rFonts w:ascii="仿宋_GB2312" w:hAnsi="仿宋_GB2312" w:eastAsia="仿宋_GB2312"/>
                <w:color w:val="000000"/>
                <w:sz w:val="18"/>
                <w:highlight w:val="none"/>
                <w:lang w:val="en"/>
              </w:rPr>
              <w:t xml:space="preserve">  </w:t>
            </w:r>
            <w:r>
              <w:rPr>
                <w:rFonts w:hint="eastAsia" w:ascii="仿宋_GB2312" w:hAnsi="仿宋_GB2312" w:eastAsia="仿宋_GB2312"/>
                <w:color w:val="000000"/>
                <w:sz w:val="18"/>
                <w:highlight w:val="none"/>
              </w:rPr>
              <w:t>第二款  禁止勘察、设计单位超越其资质等级许可的范围或者以其他勘察、设计单位的名义承揽工程。禁止勘察、设计单位允许其他单位或者个人以本单位的名义承揽工程。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autoSpaceDN w:val="0"/>
              <w:spacing w:line="240" w:lineRule="exact"/>
              <w:ind w:firstLine="360" w:firstLineChars="200"/>
              <w:textAlignment w:val="bottom"/>
              <w:rPr>
                <w:rFonts w:hint="eastAsia"/>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37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7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418"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950" w:type="dxa"/>
            <w:vMerge w:val="restart"/>
            <w:noWrap w:val="0"/>
            <w:vAlign w:val="center"/>
          </w:tcPr>
          <w:p>
            <w:pPr>
              <w:jc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责令改正；没收违法所得；对勘察、设计、监理单位处合同约定的勘察费、设计费和监理酬金1倍至1.2倍的罚款；对施工单位处工程合同价款</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w:t>
            </w:r>
            <w:r>
              <w:rPr>
                <w:rFonts w:ascii="仿宋_GB2312" w:hAnsi="仿宋_GB2312" w:eastAsia="仿宋_GB2312"/>
                <w:color w:val="000000"/>
                <w:sz w:val="18"/>
                <w:highlight w:val="none"/>
                <w:lang w:val="en"/>
              </w:rPr>
              <w:t>1.2</w:t>
            </w:r>
            <w:r>
              <w:rPr>
                <w:rFonts w:hint="eastAsia" w:ascii="仿宋_GB2312" w:hAnsi="仿宋_GB2312" w:eastAsia="仿宋_GB2312"/>
                <w:color w:val="000000"/>
                <w:sz w:val="18"/>
                <w:highlight w:val="none"/>
              </w:rPr>
              <w:t>倍至1.</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rPr>
              <w:t>倍至1.</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w:t>
            </w:r>
            <w:r>
              <w:rPr>
                <w:rFonts w:ascii="仿宋_GB2312" w:hAnsi="仿宋_GB2312" w:eastAsia="仿宋_GB2312"/>
                <w:color w:val="000000"/>
                <w:sz w:val="18"/>
                <w:highlight w:val="none"/>
                <w:lang w:val="en"/>
              </w:rPr>
              <w:t>1.6</w:t>
            </w:r>
            <w:r>
              <w:rPr>
                <w:rFonts w:hint="eastAsia" w:ascii="仿宋_GB2312" w:hAnsi="仿宋_GB2312" w:eastAsia="仿宋_GB2312"/>
                <w:color w:val="000000"/>
                <w:sz w:val="18"/>
                <w:highlight w:val="none"/>
              </w:rPr>
              <w:t>倍至</w:t>
            </w:r>
            <w:r>
              <w:rPr>
                <w:rFonts w:ascii="仿宋_GB2312" w:hAnsi="仿宋_GB2312" w:eastAsia="仿宋_GB2312"/>
                <w:color w:val="000000"/>
                <w:sz w:val="18"/>
                <w:highlight w:val="none"/>
                <w:lang w:val="en"/>
              </w:rPr>
              <w:t>1.8</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18" w:type="dxa"/>
            <w:vMerge w:val="continue"/>
            <w:noWrap w:val="0"/>
            <w:vAlign w:val="center"/>
          </w:tcPr>
          <w:p>
            <w:pPr>
              <w:autoSpaceDN w:val="0"/>
              <w:spacing w:line="240" w:lineRule="exact"/>
              <w:jc w:val="left"/>
              <w:textAlignment w:val="bottom"/>
              <w:rPr>
                <w:rFonts w:hint="eastAsia"/>
                <w:sz w:val="18"/>
                <w:szCs w:val="18"/>
                <w:highlight w:val="none"/>
              </w:rPr>
            </w:pPr>
          </w:p>
        </w:tc>
        <w:tc>
          <w:tcPr>
            <w:tcW w:w="3649"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950" w:type="dxa"/>
            <w:vMerge w:val="continue"/>
            <w:noWrap w:val="0"/>
            <w:vAlign w:val="center"/>
          </w:tcPr>
          <w:p>
            <w:pPr>
              <w:autoSpaceDN w:val="0"/>
              <w:spacing w:line="240" w:lineRule="exact"/>
              <w:jc w:val="left"/>
              <w:textAlignment w:val="bottom"/>
              <w:rPr>
                <w:rFonts w:hint="eastAsia"/>
                <w:sz w:val="18"/>
                <w:szCs w:val="18"/>
                <w:highlight w:val="none"/>
              </w:rPr>
            </w:pPr>
          </w:p>
        </w:tc>
        <w:tc>
          <w:tcPr>
            <w:tcW w:w="6778" w:type="dxa"/>
            <w:noWrap w:val="0"/>
            <w:vAlign w:val="center"/>
          </w:tcPr>
          <w:p>
            <w:pPr>
              <w:autoSpaceDN w:val="0"/>
              <w:spacing w:line="240" w:lineRule="exact"/>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责令改正；没收违法所得；对勘察、设计、监理单位处合同约定的勘察费、设计费和监理酬金1</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倍至</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rPr>
              <w:t>倍的罚款；对施工单位处工程合同价款</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10</w:t>
            </w:r>
            <w:r>
              <w:rPr>
                <w:rFonts w:hint="eastAsia" w:ascii="仿宋_GB2312" w:hAnsi="仿宋_GB2312" w:eastAsia="仿宋_GB2312"/>
                <w:color w:val="000000"/>
                <w:sz w:val="18"/>
                <w:highlight w:val="none"/>
              </w:rPr>
              <w:t>%的罚款。</w:t>
            </w:r>
          </w:p>
        </w:tc>
      </w:tr>
    </w:tbl>
    <w:tbl>
      <w:tblPr>
        <w:tblStyle w:val="15"/>
        <w:tblW w:w="126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4141"/>
        <w:gridCol w:w="1060"/>
        <w:gridCol w:w="6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highlight w:val="none"/>
                <w:lang w:val="en"/>
              </w:rPr>
              <w:br w:type="page"/>
            </w:r>
            <w:r>
              <w:rPr>
                <w:rFonts w:hint="eastAsia" w:ascii="方正黑体_GBK" w:hAnsi="方正黑体_GBK" w:eastAsia="方正黑体_GBK" w:cs="方正黑体_GBK"/>
                <w:sz w:val="18"/>
                <w:szCs w:val="18"/>
                <w:highlight w:val="none"/>
              </w:rPr>
              <w:t>序　　号</w:t>
            </w:r>
          </w:p>
        </w:tc>
        <w:tc>
          <w:tcPr>
            <w:tcW w:w="414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ascii="仿宋_GB2312" w:hAnsi="仿宋_GB2312" w:eastAsia="仿宋_GB2312"/>
                <w:color w:val="000000"/>
                <w:sz w:val="18"/>
                <w:szCs w:val="18"/>
                <w:highlight w:val="none"/>
                <w:lang w:val="en"/>
              </w:rPr>
              <w:t>22</w:t>
            </w:r>
          </w:p>
        </w:tc>
        <w:tc>
          <w:tcPr>
            <w:tcW w:w="106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事项代码</w:t>
            </w:r>
          </w:p>
        </w:tc>
        <w:tc>
          <w:tcPr>
            <w:tcW w:w="6211"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仿宋_GB2312" w:hAnsi="仿宋_GB2312" w:eastAsia="仿宋_GB2312"/>
                <w:color w:val="000000"/>
                <w:sz w:val="18"/>
                <w:szCs w:val="18"/>
                <w:highlight w:val="none"/>
                <w:lang w:val="en"/>
              </w:rPr>
            </w:pPr>
            <w:r>
              <w:rPr>
                <w:rFonts w:hint="eastAsia" w:ascii="仿宋_GB2312" w:hAnsi="仿宋_GB2312" w:eastAsia="仿宋_GB2312"/>
                <w:color w:val="FF0000"/>
                <w:sz w:val="18"/>
                <w:szCs w:val="18"/>
                <w:highlight w:val="none"/>
              </w:rPr>
              <w:t>33028002100</w:t>
            </w:r>
            <w:r>
              <w:rPr>
                <w:rFonts w:ascii="仿宋_GB2312" w:hAnsi="仿宋_GB2312" w:eastAsia="仿宋_GB2312"/>
                <w:color w:val="FF0000"/>
                <w:sz w:val="18"/>
                <w:szCs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92"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412"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both"/>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对承包单位将承包的人防工程转包或者违法分包的行政处罚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412"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第十八条第三款 勘察、设计单位不得转包或者违法分包所承揽的工程。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第六十二条</w:t>
            </w:r>
            <w:r>
              <w:rPr>
                <w:rFonts w:ascii="仿宋_GB2312" w:hAnsi="仿宋_GB2312" w:eastAsia="仿宋_GB2312"/>
                <w:color w:val="000000"/>
                <w:sz w:val="18"/>
                <w:highlight w:val="none"/>
                <w:lang w:val="en"/>
              </w:rPr>
              <w:t xml:space="preserve"> </w:t>
            </w:r>
            <w:r>
              <w:rPr>
                <w:rFonts w:ascii="仿宋_GB2312" w:hAnsi="仿宋_GB2312" w:eastAsia="仿宋_GB2312"/>
                <w:color w:val="000000"/>
                <w:sz w:val="18"/>
                <w:highlight w:val="none"/>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autoSpaceDN w:val="0"/>
              <w:spacing w:line="240" w:lineRule="exact"/>
              <w:ind w:firstLine="360" w:firstLineChars="200"/>
              <w:textAlignment w:val="bottom"/>
              <w:rPr>
                <w:rFonts w:ascii="仿宋_GB2312" w:hAnsi="仿宋_GB2312" w:eastAsia="仿宋_GB2312"/>
                <w:color w:val="000000"/>
                <w:sz w:val="18"/>
                <w:highlight w:val="none"/>
              </w:rPr>
            </w:pPr>
            <w:r>
              <w:rPr>
                <w:rFonts w:ascii="仿宋_GB2312" w:hAnsi="仿宋_GB2312" w:eastAsia="仿宋_GB2312"/>
                <w:color w:val="000000"/>
                <w:sz w:val="18"/>
                <w:highlight w:val="none"/>
              </w:rPr>
              <w:t>工程监理单位转让工程监理业务的，责令改正，没收违法所得，处合同约定的监理酬金百分之二十五以上百分之五十以下的罚款；可以责令停业整顿，降低资质等级；情节严重的，吊销资质证书。</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192"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60"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责令改正；没收违法所得；对勘察、设计单位处合同约定的勘察费、设计费25%至30%的罚款；对施工单位处工程合同价款</w:t>
            </w:r>
            <w:r>
              <w:rPr>
                <w:rFonts w:ascii="仿宋_GB2312" w:hAnsi="仿宋_GB2312" w:eastAsia="仿宋_GB2312"/>
                <w:color w:val="000000"/>
                <w:sz w:val="18"/>
                <w:highlight w:val="none"/>
                <w:lang w:val="en"/>
              </w:rPr>
              <w:t>0.5%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0.6</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25%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0.7</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30%</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0.7%</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0.8</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35%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0.9</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40%</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92" w:type="dxa"/>
            <w:vMerge w:val="continue"/>
            <w:noWrap w:val="0"/>
            <w:vAlign w:val="center"/>
          </w:tcPr>
          <w:p>
            <w:pPr>
              <w:autoSpaceDN w:val="0"/>
              <w:spacing w:line="240" w:lineRule="exact"/>
              <w:jc w:val="left"/>
              <w:textAlignment w:val="bottom"/>
              <w:rPr>
                <w:rFonts w:hint="eastAsia"/>
                <w:sz w:val="18"/>
                <w:szCs w:val="18"/>
                <w:highlight w:val="none"/>
              </w:rPr>
            </w:pPr>
          </w:p>
        </w:tc>
        <w:tc>
          <w:tcPr>
            <w:tcW w:w="4141"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60" w:type="dxa"/>
            <w:vMerge w:val="continue"/>
            <w:noWrap w:val="0"/>
            <w:vAlign w:val="center"/>
          </w:tcPr>
          <w:p>
            <w:pPr>
              <w:autoSpaceDN w:val="0"/>
              <w:spacing w:line="240" w:lineRule="exact"/>
              <w:jc w:val="left"/>
              <w:textAlignment w:val="bottom"/>
              <w:rPr>
                <w:rFonts w:hint="eastAsia"/>
                <w:sz w:val="18"/>
                <w:szCs w:val="18"/>
                <w:highlight w:val="none"/>
              </w:rPr>
            </w:pPr>
          </w:p>
        </w:tc>
        <w:tc>
          <w:tcPr>
            <w:tcW w:w="6211" w:type="dxa"/>
            <w:noWrap w:val="0"/>
            <w:vAlign w:val="center"/>
          </w:tcPr>
          <w:p>
            <w:pPr>
              <w:autoSpaceDN w:val="0"/>
              <w:spacing w:line="20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责令改正；没收违法所得；对勘察、设计单位处合同约定的勘察费、设计费</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50</w:t>
            </w:r>
            <w:r>
              <w:rPr>
                <w:rFonts w:hint="eastAsia" w:ascii="仿宋_GB2312" w:hAnsi="仿宋_GB2312" w:eastAsia="仿宋_GB2312"/>
                <w:color w:val="000000"/>
                <w:sz w:val="18"/>
                <w:highlight w:val="none"/>
              </w:rPr>
              <w:t>%的罚款；对施工单位处工程合同价款</w:t>
            </w:r>
            <w:r>
              <w:rPr>
                <w:rFonts w:ascii="仿宋_GB2312" w:hAnsi="仿宋_GB2312" w:eastAsia="仿宋_GB2312"/>
                <w:color w:val="000000"/>
                <w:sz w:val="18"/>
                <w:highlight w:val="none"/>
                <w:lang w:val="en"/>
              </w:rPr>
              <w:t>0.9%</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1</w:t>
            </w:r>
            <w:r>
              <w:rPr>
                <w:rFonts w:hint="eastAsia" w:ascii="仿宋_GB2312" w:hAnsi="仿宋_GB2312" w:eastAsia="仿宋_GB2312"/>
                <w:color w:val="000000"/>
                <w:sz w:val="18"/>
                <w:highlight w:val="none"/>
                <w:lang w:val="en"/>
              </w:rPr>
              <w:t>％的罚款；对监理单位处合同约定的监理酬金</w:t>
            </w:r>
            <w:r>
              <w:rPr>
                <w:rFonts w:ascii="仿宋_GB2312" w:hAnsi="仿宋_GB2312" w:eastAsia="仿宋_GB2312"/>
                <w:color w:val="000000"/>
                <w:sz w:val="18"/>
                <w:highlight w:val="none"/>
                <w:lang w:val="en"/>
              </w:rPr>
              <w:t>45%</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50%</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w:t>
            </w:r>
            <w:r>
              <w:rPr>
                <w:rFonts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%至</w:t>
            </w:r>
            <w:r>
              <w:rPr>
                <w:rFonts w:ascii="仿宋_GB2312" w:hAnsi="仿宋_GB2312" w:eastAsia="仿宋_GB2312"/>
                <w:color w:val="000000"/>
                <w:sz w:val="18"/>
                <w:highlight w:val="none"/>
                <w:lang w:val="en"/>
              </w:rPr>
              <w:t>10</w:t>
            </w:r>
            <w:r>
              <w:rPr>
                <w:rFonts w:hint="eastAsia" w:ascii="仿宋_GB2312" w:hAnsi="仿宋_GB2312" w:eastAsia="仿宋_GB2312"/>
                <w:color w:val="000000"/>
                <w:sz w:val="18"/>
                <w:highlight w:val="none"/>
              </w:rPr>
              <w:t>%的罚款。</w:t>
            </w:r>
          </w:p>
        </w:tc>
      </w:tr>
    </w:tbl>
    <w:p>
      <w:pPr>
        <w:rPr>
          <w:highlight w:val="none"/>
        </w:rPr>
      </w:pPr>
      <w:r>
        <w:rPr>
          <w:sz w:val="44"/>
        </w:rPr>
        <mc:AlternateContent>
          <mc:Choice Requires="wps">
            <w:drawing>
              <wp:anchor distT="0" distB="0" distL="114300" distR="114300" simplePos="0" relativeHeight="447583232" behindDoc="0" locked="0" layoutInCell="1" allowOverlap="1">
                <wp:simplePos x="0" y="0"/>
                <wp:positionH relativeFrom="column">
                  <wp:posOffset>-364490</wp:posOffset>
                </wp:positionH>
                <wp:positionV relativeFrom="paragraph">
                  <wp:posOffset>22225</wp:posOffset>
                </wp:positionV>
                <wp:extent cx="443230" cy="758190"/>
                <wp:effectExtent l="0" t="0" r="13970" b="3810"/>
                <wp:wrapNone/>
                <wp:docPr id="59" name="文本框 59"/>
                <wp:cNvGraphicFramePr/>
                <a:graphic xmlns:a="http://schemas.openxmlformats.org/drawingml/2006/main">
                  <a:graphicData uri="http://schemas.microsoft.com/office/word/2010/wordprocessingShape">
                    <wps:wsp>
                      <wps:cNvSpPr txBox="true"/>
                      <wps:spPr>
                        <a:xfrm>
                          <a:off x="0" y="0"/>
                          <a:ext cx="443230" cy="75819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23</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7pt;margin-top:1.75pt;height:59.7pt;width:34.9pt;z-index:447583232;mso-width-relative:page;mso-height-relative:page;" fillcolor="#FFFFFF" filled="t" stroked="f" coordsize="21600,21600" o:gfxdata="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QuJ0z9YA&#10;AAAIAQAADwAAAAAAAAABACAAAAA4AAAAZHJzL2Rvd25yZXYueG1sUEsBAhQAFAAAAAgAh07iQF0G&#10;imBEAgAAZAQAAA4AAAAAAAAAAQAgAAAAOw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23</w:t>
                      </w:r>
                      <w:r>
                        <w:rPr>
                          <w:rStyle w:val="18"/>
                          <w:sz w:val="28"/>
                          <w:szCs w:val="28"/>
                        </w:rPr>
                        <w:t xml:space="preserve"> —</w:t>
                      </w:r>
                    </w:p>
                    <w:p>
                      <w:pPr>
                        <w:rPr>
                          <w:rFonts w:hint="default"/>
                          <w:lang w:val="en-US" w:eastAsia="zh-CN"/>
                        </w:rPr>
                      </w:pPr>
                    </w:p>
                  </w:txbxContent>
                </v:textbox>
              </v:shape>
            </w:pict>
          </mc:Fallback>
        </mc:AlternateContent>
      </w:r>
      <w:r>
        <w:rPr>
          <w:highlight w:val="none"/>
        </w:rPr>
        <w:br w:type="page"/>
      </w:r>
    </w:p>
    <w:p>
      <w:pPr>
        <w:pStyle w:val="20"/>
      </w:pPr>
      <w:r>
        <w:rPr>
          <w:sz w:val="44"/>
        </w:rPr>
        <mc:AlternateContent>
          <mc:Choice Requires="wps">
            <w:drawing>
              <wp:anchor distT="0" distB="0" distL="114300" distR="114300" simplePos="0" relativeHeight="465394688" behindDoc="0" locked="0" layoutInCell="1" allowOverlap="1">
                <wp:simplePos x="0" y="0"/>
                <wp:positionH relativeFrom="column">
                  <wp:posOffset>-364490</wp:posOffset>
                </wp:positionH>
                <wp:positionV relativeFrom="paragraph">
                  <wp:posOffset>-447675</wp:posOffset>
                </wp:positionV>
                <wp:extent cx="443230" cy="736600"/>
                <wp:effectExtent l="0" t="0" r="13970" b="6350"/>
                <wp:wrapNone/>
                <wp:docPr id="60" name="文本框 60"/>
                <wp:cNvGraphicFramePr/>
                <a:graphic xmlns:a="http://schemas.openxmlformats.org/drawingml/2006/main">
                  <a:graphicData uri="http://schemas.microsoft.com/office/word/2010/wordprocessingShape">
                    <wps:wsp>
                      <wps:cNvSpPr txBox="true"/>
                      <wps:spPr>
                        <a:xfrm>
                          <a:off x="0" y="0"/>
                          <a:ext cx="443230" cy="73660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24</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7pt;margin-top:-35.25pt;height:58pt;width:34.9pt;z-index:465394688;mso-width-relative:page;mso-height-relative:page;" fillcolor="#FFFFFF" filled="t" stroked="f" coordsize="21600,21600" o:gfxdata="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QsSw7X&#10;AAAACQEAAA8AAAAAAAAAAQAgAAAAOAAAAGRycy9kb3ducmV2LnhtbFBLAQIUABQAAAAIAIdO4kAb&#10;XZ/MRAIAAGQEAAAOAAAAAAAAAAEAIAAAADwBAABkcnMvZTJvRG9jLnhtbFBLBQYAAAAABgAGAFkB&#10;AADy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24</w:t>
                      </w:r>
                      <w:r>
                        <w:rPr>
                          <w:rStyle w:val="18"/>
                          <w:sz w:val="28"/>
                          <w:szCs w:val="28"/>
                        </w:rPr>
                        <w:t xml:space="preserve"> —</w:t>
                      </w:r>
                    </w:p>
                    <w:p>
                      <w:pPr>
                        <w:rPr>
                          <w:rFonts w:hint="default"/>
                          <w:lang w:val="en-US" w:eastAsia="zh-CN"/>
                        </w:rPr>
                      </w:pPr>
                    </w:p>
                  </w:txbxContent>
                </v:textbox>
              </v:shape>
            </w:pict>
          </mc:Fallback>
        </mc:AlternateContent>
      </w:r>
    </w:p>
    <w:tbl>
      <w:tblPr>
        <w:tblStyle w:val="15"/>
        <w:tblW w:w="12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3874"/>
        <w:gridCol w:w="1003"/>
        <w:gridCol w:w="6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2</w:t>
            </w:r>
            <w:r>
              <w:rPr>
                <w:rFonts w:ascii="仿宋_GB2312" w:hAnsi="仿宋_GB2312" w:eastAsia="仿宋_GB2312"/>
                <w:color w:val="000000"/>
                <w:sz w:val="18"/>
                <w:highlight w:val="none"/>
                <w:lang w:val="en"/>
              </w:rPr>
              <w:t>3</w:t>
            </w:r>
          </w:p>
        </w:tc>
        <w:tc>
          <w:tcPr>
            <w:tcW w:w="100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highlight w:val="none"/>
              </w:rPr>
            </w:pPr>
            <w:r>
              <w:rPr>
                <w:rFonts w:hint="eastAsia" w:ascii="方正黑体_GBK" w:hAnsi="方正黑体_GBK" w:eastAsia="方正黑体_GBK" w:cs="方正黑体_GBK"/>
                <w:sz w:val="18"/>
                <w:szCs w:val="18"/>
                <w:highlight w:val="none"/>
              </w:rPr>
              <w:t>事项代码</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FF0000"/>
                <w:sz w:val="18"/>
                <w:highlight w:val="none"/>
              </w:rPr>
              <w:t>33028001500</w:t>
            </w:r>
            <w:r>
              <w:rPr>
                <w:rFonts w:ascii="仿宋_GB2312" w:hAnsi="仿宋_GB2312" w:eastAsia="仿宋_GB2312"/>
                <w:color w:val="FF0000"/>
                <w:sz w:val="18"/>
                <w:highlight w:val="none"/>
                <w:lang w:val="e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66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对人防工程勘察、设计、施工、监理单位超越本单位资质等级承揽人防工程的行政处罚</w:t>
            </w:r>
            <w:r>
              <w:rPr>
                <w:rFonts w:hint="eastAsia" w:ascii="仿宋_GB2312" w:hAnsi="仿宋_GB2312" w:eastAsia="仿宋_GB2312"/>
                <w:color w:val="000000"/>
                <w:sz w:val="18"/>
                <w:szCs w:val="18"/>
                <w:highlight w:val="none"/>
              </w:rPr>
              <w:t>（不含降低资质等级或者吊销资质证书的行政处罚）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669" w:type="dxa"/>
            <w:gridSpan w:val="3"/>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第十八条  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pStyle w:val="8"/>
              <w:keepNext w:val="0"/>
              <w:keepLines w:val="0"/>
              <w:pageBreakBefore w:val="0"/>
              <w:widowControl w:val="0"/>
              <w:kinsoku/>
              <w:wordWrap/>
              <w:overflowPunct/>
              <w:topLinePunct w:val="0"/>
              <w:autoSpaceDE/>
              <w:bidi w:val="0"/>
              <w:adjustRightInd w:val="0"/>
              <w:snapToGrid w:val="0"/>
              <w:spacing w:line="240" w:lineRule="auto"/>
              <w:rPr>
                <w:rFonts w:eastAsia="仿宋_GB2312"/>
                <w:highlight w:val="none"/>
              </w:rPr>
            </w:pPr>
            <w:r>
              <w:rPr>
                <w:rFonts w:ascii="仿宋_GB2312" w:hAnsi="仿宋_GB2312" w:eastAsia="仿宋_GB2312"/>
                <w:color w:val="000000"/>
                <w:sz w:val="18"/>
                <w:highlight w:val="none"/>
              </w:rPr>
              <w:t>　　未取得资质证书承揽工程的，予以取缔，依照前款规定处以罚款；有违法所得的，予以没收。</w:t>
            </w:r>
          </w:p>
          <w:p>
            <w:pPr>
              <w:keepNext w:val="0"/>
              <w:keepLines w:val="0"/>
              <w:pageBreakBefore w:val="0"/>
              <w:widowControl w:val="0"/>
              <w:kinsoku/>
              <w:wordWrap/>
              <w:overflowPunct/>
              <w:topLinePunct w:val="0"/>
              <w:autoSpaceDE/>
              <w:autoSpaceDN w:val="0"/>
              <w:bidi w:val="0"/>
              <w:adjustRightInd w:val="0"/>
              <w:snapToGrid w:val="0"/>
              <w:spacing w:line="240" w:lineRule="auto"/>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03"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669" w:type="dxa"/>
            <w:gridSpan w:val="3"/>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972" w:type="dxa"/>
            <w:gridSpan w:val="4"/>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303"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03"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hint="eastAsia"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责令停止违法行为；没收违法所得；对勘察、设计单位或工程监理单位处合同约定的勘察费、设计费或者监理酬金1倍至1.2倍的罚款；对施工单位处工程合同价款</w:t>
            </w:r>
            <w:r>
              <w:rPr>
                <w:rFonts w:ascii="仿宋_GB2312" w:hAnsi="仿宋_GB2312" w:eastAsia="仿宋_GB2312"/>
                <w:color w:val="000000"/>
                <w:sz w:val="18"/>
                <w:highlight w:val="none"/>
                <w:lang w:val="en"/>
              </w:rPr>
              <w:t>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对单位直接负责的主管人员和其他直接责任人员处单位罚款数额5%至6%的罚款。未取得资质证书承揽工程的，予以取缔，依照前款规定处以罚款。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责令停止违法行为；没收违法所得；对勘察、设计单位或工程监理单位处合同约定的勘察费、设计费或者监理酬金1.2倍至1.4倍的罚款；对施工单位处工程合同价款</w:t>
            </w:r>
            <w:r>
              <w:rPr>
                <w:rFonts w:ascii="仿宋_GB2312" w:hAnsi="仿宋_GB2312" w:eastAsia="仿宋_GB2312"/>
                <w:color w:val="000000"/>
                <w:sz w:val="18"/>
                <w:highlight w:val="none"/>
                <w:lang w:val="en"/>
              </w:rPr>
              <w:t>2.4%</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对单位直接负责的主管人员和其他直接责任人员处单位罚款数额6%至7%的罚款。未取得资质证书承揽工程的，予以取缔，依照前款规定处以罚款。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责令停止违法行为；没收违法所得；对勘察、设计单位或工程监理单位处合同约定的勘察费、设计费或者监理酬金1.4倍至1.6倍的罚款；对施工单位处工程合同价款</w:t>
            </w:r>
            <w:r>
              <w:rPr>
                <w:rFonts w:ascii="仿宋_GB2312" w:hAnsi="仿宋_GB2312" w:eastAsia="仿宋_GB2312"/>
                <w:color w:val="000000"/>
                <w:sz w:val="18"/>
                <w:highlight w:val="none"/>
                <w:lang w:val="en"/>
              </w:rPr>
              <w:t>2.8%</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对单位直接负责的主管人员和其他直接责任人员处单位罚款数额7%至8%的罚款。未取得资质证书承揽工程的，予以取缔，依照前款规定处以罚款。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责令停止违法行为；没收违法所得；对勘察、设计单位或工程监理单位处合同约定的勘察费、设计费或者监理酬金1.6倍至1.8倍的罚款；对施工单位处工程合同价款</w:t>
            </w:r>
            <w:r>
              <w:rPr>
                <w:rFonts w:ascii="仿宋_GB2312" w:hAnsi="仿宋_GB2312" w:eastAsia="仿宋_GB2312"/>
                <w:color w:val="000000"/>
                <w:sz w:val="18"/>
                <w:highlight w:val="none"/>
                <w:lang w:val="en"/>
              </w:rPr>
              <w:t>3.2%</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对单位直接负责的主管人员和其他直接责任人员处单位罚款数额8%至9%的罚款。未取得资质证书承揽工程的，予以取缔，依照前款规定处以罚款。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3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3874"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left"/>
              <w:textAlignment w:val="bottom"/>
              <w:rPr>
                <w:rFonts w:hint="eastAsia"/>
                <w:sz w:val="18"/>
                <w:szCs w:val="18"/>
                <w:highlight w:val="none"/>
              </w:rPr>
            </w:pP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仿宋_GB2312" w:hAnsi="仿宋_GB2312" w:eastAsia="仿宋_GB2312"/>
                <w:color w:val="000000"/>
                <w:sz w:val="18"/>
                <w:highlight w:val="none"/>
                <w:lang w:val="en"/>
              </w:rPr>
            </w:pPr>
            <w:r>
              <w:rPr>
                <w:rFonts w:hint="eastAsia" w:ascii="仿宋_GB2312" w:hAnsi="仿宋_GB2312" w:eastAsia="仿宋_GB2312"/>
                <w:color w:val="000000"/>
                <w:sz w:val="18"/>
                <w:highlight w:val="none"/>
              </w:rPr>
              <w:t>责令停止违法行为；没收违法所得；对勘察、设计单位或工程监理单位处合同约定的勘察费、设计费或者监理酬金1.8倍至2倍的罚款；对施工单位处工程合同价款</w:t>
            </w:r>
            <w:r>
              <w:rPr>
                <w:rFonts w:ascii="仿宋_GB2312" w:hAnsi="仿宋_GB2312" w:eastAsia="仿宋_GB2312"/>
                <w:color w:val="000000"/>
                <w:sz w:val="18"/>
                <w:highlight w:val="none"/>
                <w:lang w:val="en"/>
              </w:rPr>
              <w:t>3.6%</w:t>
            </w:r>
            <w:r>
              <w:rPr>
                <w:rFonts w:hint="eastAsia" w:ascii="仿宋_GB2312" w:hAnsi="仿宋_GB2312" w:eastAsia="仿宋_GB2312"/>
                <w:color w:val="000000"/>
                <w:sz w:val="18"/>
                <w:highlight w:val="none"/>
                <w:lang w:val="en"/>
              </w:rPr>
              <w:t>至</w:t>
            </w:r>
            <w:r>
              <w:rPr>
                <w:rFonts w:ascii="仿宋_GB2312" w:hAnsi="仿宋_GB2312" w:eastAsia="仿宋_GB2312"/>
                <w:color w:val="000000"/>
                <w:sz w:val="18"/>
                <w:highlight w:val="none"/>
                <w:lang w:val="en"/>
              </w:rPr>
              <w:t>4%</w:t>
            </w:r>
            <w:r>
              <w:rPr>
                <w:rFonts w:hint="eastAsia" w:ascii="仿宋_GB2312" w:hAnsi="仿宋_GB2312" w:eastAsia="仿宋_GB2312"/>
                <w:color w:val="000000"/>
                <w:sz w:val="18"/>
                <w:highlight w:val="none"/>
                <w:lang w:val="en"/>
              </w:rPr>
              <w:t>的罚款；</w:t>
            </w:r>
            <w:r>
              <w:rPr>
                <w:rFonts w:hint="eastAsia" w:ascii="仿宋_GB2312" w:hAnsi="仿宋_GB2312" w:eastAsia="仿宋_GB2312"/>
                <w:color w:val="000000"/>
                <w:sz w:val="18"/>
                <w:highlight w:val="none"/>
              </w:rPr>
              <w:t>对单位直接负责的主管人员和其他直接责任人员处单位罚款数额9%至10%的罚款。未取得资质证书承揽工程的，予以取缔，依照前款规定处以罚款。</w:t>
            </w:r>
          </w:p>
        </w:tc>
      </w:tr>
    </w:tbl>
    <w:p>
      <w:pPr>
        <w:rPr>
          <w:highlight w:val="none"/>
        </w:rPr>
      </w:pPr>
      <w:r>
        <w:rPr>
          <w:highlight w:val="none"/>
        </w:rPr>
        <w:br w:type="page"/>
      </w:r>
    </w:p>
    <w:tbl>
      <w:tblPr>
        <w:tblStyle w:val="15"/>
        <w:tblW w:w="12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4066"/>
        <w:gridCol w:w="1003"/>
        <w:gridCol w:w="6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1" w:type="dxa"/>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序　　号</w:t>
            </w:r>
          </w:p>
        </w:tc>
        <w:tc>
          <w:tcPr>
            <w:tcW w:w="406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default" w:ascii="仿宋_GB2312" w:hAnsi="仿宋_GB2312" w:eastAsia="仿宋_GB2312"/>
                <w:color w:val="000000"/>
                <w:sz w:val="18"/>
                <w:highlight w:val="none"/>
                <w:lang w:val="en" w:eastAsia="zh-CN"/>
              </w:rPr>
            </w:pPr>
            <w:r>
              <w:rPr>
                <w:rFonts w:hint="default" w:ascii="仿宋_GB2312" w:hAnsi="仿宋_GB2312" w:eastAsia="仿宋_GB2312"/>
                <w:color w:val="000000"/>
                <w:sz w:val="18"/>
                <w:highlight w:val="none"/>
                <w:lang w:val="en" w:eastAsia="zh-CN"/>
              </w:rPr>
              <w:t>24</w:t>
            </w:r>
          </w:p>
        </w:tc>
        <w:tc>
          <w:tcPr>
            <w:tcW w:w="100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hint="eastAsia" w:ascii="仿宋_GB2312" w:hAnsi="仿宋_GB2312" w:eastAsia="仿宋_GB2312"/>
                <w:color w:val="000000"/>
                <w:sz w:val="18"/>
                <w:highlight w:val="none"/>
              </w:rPr>
            </w:pPr>
            <w:r>
              <w:rPr>
                <w:rFonts w:hint="eastAsia" w:ascii="方正黑体_GBK" w:hAnsi="方正黑体_GBK" w:eastAsia="方正黑体_GBK" w:cs="方正黑体_GBK"/>
                <w:sz w:val="18"/>
                <w:szCs w:val="18"/>
                <w:highlight w:val="none"/>
              </w:rPr>
              <w:t>事项代码</w:t>
            </w:r>
          </w:p>
        </w:tc>
        <w:tc>
          <w:tcPr>
            <w:tcW w:w="679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bottom"/>
              <w:rPr>
                <w:rFonts w:ascii="仿宋_GB2312" w:hAnsi="仿宋_GB2312" w:eastAsia="仿宋_GB2312"/>
                <w:color w:val="000000"/>
                <w:sz w:val="18"/>
                <w:highlight w:val="none"/>
                <w:lang w:val="en"/>
              </w:rPr>
            </w:pPr>
            <w:r>
              <w:rPr>
                <w:rFonts w:hint="eastAsia" w:ascii="仿宋_GB2312" w:hAnsi="仿宋_GB2312" w:eastAsia="仿宋_GB2312"/>
                <w:color w:val="FF0000"/>
                <w:sz w:val="18"/>
                <w:highlight w:val="none"/>
              </w:rPr>
              <w:t>330280009000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事项名称</w:t>
            </w:r>
          </w:p>
        </w:tc>
        <w:tc>
          <w:tcPr>
            <w:tcW w:w="11861" w:type="dxa"/>
            <w:gridSpan w:val="3"/>
            <w:noWrap w:val="0"/>
            <w:vAlign w:val="center"/>
          </w:tcPr>
          <w:p>
            <w:pPr>
              <w:autoSpaceDN w:val="0"/>
              <w:spacing w:line="240" w:lineRule="exact"/>
              <w:jc w:val="both"/>
              <w:textAlignment w:val="bottom"/>
              <w:rPr>
                <w:rFonts w:hint="eastAsia" w:ascii="仿宋_GB2312" w:hAnsi="仿宋_GB2312" w:eastAsia="仿宋_GB2312" w:cs="黑体"/>
                <w:color w:val="000000"/>
                <w:sz w:val="18"/>
                <w:highlight w:val="none"/>
              </w:rPr>
            </w:pPr>
            <w:r>
              <w:rPr>
                <w:rFonts w:hint="eastAsia" w:ascii="仿宋_GB2312" w:hAnsi="仿宋_GB2312" w:eastAsia="仿宋_GB2312" w:cs="黑体"/>
                <w:color w:val="000000"/>
                <w:sz w:val="18"/>
                <w:highlight w:val="none"/>
              </w:rPr>
              <w:t>对与被监理工程的施工承包单位以及建筑材料、建筑构配件和设备供应单位有利害关系的人防工程监理单位承担该工程监理业务的行政处罚</w:t>
            </w:r>
            <w:r>
              <w:rPr>
                <w:rFonts w:hint="eastAsia" w:ascii="仿宋_GB2312" w:hAnsi="仿宋_GB2312" w:eastAsia="仿宋_GB2312"/>
                <w:color w:val="000000"/>
                <w:sz w:val="18"/>
                <w:szCs w:val="18"/>
                <w:highlight w:val="none"/>
              </w:rPr>
              <w:t>（不含降低资质等级或者吊销资质证书的行政处罚）</w:t>
            </w:r>
            <w:r>
              <w:rPr>
                <w:rFonts w:hint="eastAsia" w:ascii="仿宋_GB2312" w:hAnsi="仿宋_GB2312" w:eastAsia="仿宋_GB2312" w:cs="黑体"/>
                <w:color w:val="000000"/>
                <w:sz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111" w:type="dxa"/>
            <w:noWrap w:val="0"/>
            <w:vAlign w:val="center"/>
          </w:tcPr>
          <w:p>
            <w:pPr>
              <w:jc w:val="center"/>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法律依据</w:t>
            </w:r>
          </w:p>
        </w:tc>
        <w:tc>
          <w:tcPr>
            <w:tcW w:w="11861" w:type="dxa"/>
            <w:gridSpan w:val="3"/>
            <w:noWrap w:val="0"/>
            <w:vAlign w:val="center"/>
          </w:tcPr>
          <w:p>
            <w:pPr>
              <w:autoSpaceDN w:val="0"/>
              <w:spacing w:line="240" w:lineRule="exact"/>
              <w:ind w:firstLine="361" w:firstLineChars="200"/>
              <w:textAlignment w:val="bottom"/>
              <w:rPr>
                <w:rFonts w:hint="eastAsia" w:ascii="仿宋_GB2312" w:hAnsi="仿宋_GB2312" w:eastAsia="仿宋_GB2312"/>
                <w:b/>
                <w:bCs/>
                <w:color w:val="000000"/>
                <w:sz w:val="18"/>
                <w:highlight w:val="none"/>
              </w:rPr>
            </w:pPr>
            <w:r>
              <w:rPr>
                <w:rFonts w:hint="eastAsia" w:ascii="仿宋_GB2312" w:hAnsi="仿宋_GB2312" w:eastAsia="仿宋_GB2312"/>
                <w:b/>
                <w:bCs/>
                <w:color w:val="000000"/>
                <w:sz w:val="18"/>
                <w:highlight w:val="none"/>
              </w:rPr>
              <w:t>《建设工程质量管理条例》</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autoSpaceDN w:val="0"/>
              <w:spacing w:line="240" w:lineRule="exact"/>
              <w:ind w:firstLine="360" w:firstLineChars="200"/>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sz w:val="18"/>
                <w:highlight w:val="none"/>
              </w:rPr>
              <w:t>第七十三条 依照本条例规定，给予单位罚款处罚的，对单位直接负责的主管人员和其他直接责任人员处单位罚款数额5%以上10%以下的罚款。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处罚种类</w:t>
            </w:r>
          </w:p>
        </w:tc>
        <w:tc>
          <w:tcPr>
            <w:tcW w:w="1186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sz w:val="18"/>
                <w:szCs w:val="18"/>
                <w:highlight w:val="none"/>
              </w:rPr>
            </w:pPr>
            <w:r>
              <w:rPr>
                <w:rFonts w:hint="eastAsia" w:ascii="仿宋_GB2312" w:hAnsi="仿宋_GB2312" w:eastAsia="仿宋_GB2312"/>
                <w:color w:val="000000"/>
                <w:sz w:val="18"/>
                <w:szCs w:val="18"/>
                <w:highlight w:val="none"/>
              </w:rPr>
              <w:t>罚款、没收违法所得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97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裁量基准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11" w:type="dxa"/>
            <w:vMerge w:val="restart"/>
            <w:noWrap w:val="0"/>
            <w:vAlign w:val="center"/>
          </w:tcPr>
          <w:p>
            <w:pPr>
              <w:autoSpaceDN w:val="0"/>
              <w:spacing w:line="240" w:lineRule="exact"/>
              <w:jc w:val="center"/>
              <w:textAlignment w:val="bottom"/>
              <w:rPr>
                <w:rFonts w:hint="eastAsia" w:ascii="方正黑体_GBK" w:hAnsi="方正黑体_GBK" w:eastAsia="方正黑体_GBK" w:cs="方正黑体_GBK"/>
                <w:sz w:val="18"/>
                <w:szCs w:val="18"/>
                <w:highlight w:val="none"/>
              </w:rPr>
            </w:pPr>
            <w:r>
              <w:rPr>
                <w:rFonts w:hint="eastAsia" w:ascii="方正黑体_GBK" w:hAnsi="方正黑体_GBK" w:eastAsia="方正黑体_GBK" w:cs="方正黑体_GBK"/>
                <w:sz w:val="18"/>
                <w:szCs w:val="18"/>
                <w:highlight w:val="none"/>
              </w:rPr>
              <w:t>违法情节</w:t>
            </w: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未造成质量事故的。</w:t>
            </w:r>
          </w:p>
        </w:tc>
        <w:tc>
          <w:tcPr>
            <w:tcW w:w="1003" w:type="dxa"/>
            <w:vMerge w:val="restart"/>
            <w:noWrap w:val="0"/>
            <w:vAlign w:val="center"/>
          </w:tcPr>
          <w:p>
            <w:pPr>
              <w:autoSpaceDN w:val="0"/>
              <w:spacing w:line="240" w:lineRule="exact"/>
              <w:jc w:val="center"/>
              <w:textAlignment w:val="bottom"/>
              <w:rPr>
                <w:rFonts w:hint="eastAsia" w:ascii="仿宋_GB2312" w:hAnsi="仿宋_GB2312" w:eastAsia="仿宋_GB2312"/>
                <w:color w:val="000000"/>
                <w:sz w:val="18"/>
                <w:szCs w:val="18"/>
                <w:highlight w:val="none"/>
              </w:rPr>
            </w:pPr>
            <w:r>
              <w:rPr>
                <w:rFonts w:hint="eastAsia" w:ascii="方正黑体_GBK" w:hAnsi="方正黑体_GBK" w:eastAsia="方正黑体_GBK" w:cs="方正黑体_GBK"/>
                <w:sz w:val="18"/>
                <w:szCs w:val="18"/>
                <w:highlight w:val="none"/>
              </w:rPr>
              <w:t>处罚标准</w:t>
            </w:r>
          </w:p>
        </w:tc>
        <w:tc>
          <w:tcPr>
            <w:tcW w:w="6792" w:type="dxa"/>
            <w:noWrap w:val="0"/>
            <w:vAlign w:val="center"/>
          </w:tcPr>
          <w:p>
            <w:pPr>
              <w:autoSpaceDN w:val="0"/>
              <w:spacing w:line="200" w:lineRule="exact"/>
              <w:textAlignment w:val="center"/>
              <w:rPr>
                <w:rFonts w:hint="eastAsia" w:ascii="仿宋_GB2312" w:hAnsi="仿宋_GB2312" w:eastAsia="仿宋_GB2312"/>
                <w:color w:val="000000"/>
                <w:sz w:val="18"/>
                <w:highlight w:val="none"/>
                <w:lang w:val="en" w:eastAsia="zh-CN"/>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处5万元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6</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对单位直接负责的主管人员和其他直接责任人员处单位罚款数额5%</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6%</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shd w:val="clear" w:color="auto" w:fill="FFFFFF"/>
              </w:rPr>
              <w:t>造成一般质量事故的。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7</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6</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7%</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严重质量事故的。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8</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7</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8%</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9</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8</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9%</w:t>
            </w:r>
            <w:r>
              <w:rPr>
                <w:rFonts w:hint="eastAsia" w:ascii="仿宋_GB2312" w:hAnsi="仿宋_GB2312" w:eastAsia="仿宋_GB2312"/>
                <w:color w:val="000000"/>
                <w:sz w:val="18"/>
                <w:highlight w:val="none"/>
              </w:rPr>
              <w:t>的罚款。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111" w:type="dxa"/>
            <w:vMerge w:val="continue"/>
            <w:noWrap w:val="0"/>
            <w:vAlign w:val="center"/>
          </w:tcPr>
          <w:p>
            <w:pPr>
              <w:autoSpaceDN w:val="0"/>
              <w:spacing w:line="240" w:lineRule="exact"/>
              <w:jc w:val="left"/>
              <w:textAlignment w:val="bottom"/>
              <w:rPr>
                <w:rFonts w:hint="eastAsia"/>
                <w:sz w:val="18"/>
                <w:szCs w:val="18"/>
                <w:highlight w:val="none"/>
              </w:rPr>
            </w:pPr>
          </w:p>
        </w:tc>
        <w:tc>
          <w:tcPr>
            <w:tcW w:w="4066" w:type="dxa"/>
            <w:noWrap w:val="0"/>
            <w:vAlign w:val="center"/>
          </w:tcPr>
          <w:p>
            <w:pPr>
              <w:autoSpaceDN w:val="0"/>
              <w:spacing w:line="240" w:lineRule="exact"/>
              <w:textAlignment w:val="center"/>
              <w:rPr>
                <w:rFonts w:ascii="仿宋_GB2312" w:hAnsi="仿宋_GB2312" w:eastAsia="仿宋_GB2312" w:cs="Times New Roman"/>
                <w:color w:val="000000"/>
                <w:sz w:val="18"/>
                <w:szCs w:val="24"/>
                <w:highlight w:val="none"/>
                <w:lang w:val="en"/>
              </w:rPr>
            </w:pPr>
            <w:r>
              <w:rPr>
                <w:rFonts w:hint="eastAsia" w:ascii="仿宋_GB2312" w:hAnsi="仿宋_GB2312" w:eastAsia="仿宋_GB2312"/>
                <w:color w:val="000000"/>
                <w:sz w:val="18"/>
                <w:highlight w:val="none"/>
              </w:rPr>
              <w:t>造成特别</w:t>
            </w:r>
            <w:r>
              <w:rPr>
                <w:rFonts w:hint="eastAsia" w:ascii="仿宋_GB2312" w:hAnsi="仿宋_GB2312" w:eastAsia="仿宋_GB2312"/>
                <w:color w:val="000000"/>
                <w:sz w:val="18"/>
                <w:highlight w:val="none"/>
                <w:shd w:val="clear" w:color="auto" w:fill="FFFFFF"/>
              </w:rPr>
              <w:t>重大质量事故的。</w:t>
            </w:r>
          </w:p>
        </w:tc>
        <w:tc>
          <w:tcPr>
            <w:tcW w:w="1003" w:type="dxa"/>
            <w:vMerge w:val="continue"/>
            <w:noWrap w:val="0"/>
            <w:vAlign w:val="center"/>
          </w:tcPr>
          <w:p>
            <w:pPr>
              <w:autoSpaceDN w:val="0"/>
              <w:spacing w:line="240" w:lineRule="exact"/>
              <w:jc w:val="left"/>
              <w:textAlignment w:val="bottom"/>
              <w:rPr>
                <w:rFonts w:hint="eastAsia"/>
                <w:sz w:val="18"/>
                <w:szCs w:val="18"/>
                <w:highlight w:val="none"/>
              </w:rPr>
            </w:pPr>
          </w:p>
        </w:tc>
        <w:tc>
          <w:tcPr>
            <w:tcW w:w="6792" w:type="dxa"/>
            <w:noWrap w:val="0"/>
            <w:vAlign w:val="center"/>
          </w:tcPr>
          <w:p>
            <w:pPr>
              <w:autoSpaceDN w:val="0"/>
              <w:spacing w:line="200" w:lineRule="exact"/>
              <w:textAlignment w:val="center"/>
              <w:rPr>
                <w:rFonts w:hint="eastAsia" w:ascii="仿宋_GB2312" w:hAnsi="仿宋_GB2312" w:eastAsia="仿宋_GB2312" w:cs="黑体"/>
                <w:color w:val="000000"/>
                <w:kern w:val="2"/>
                <w:sz w:val="18"/>
                <w:szCs w:val="22"/>
                <w:highlight w:val="none"/>
                <w:lang w:val="en" w:eastAsia="zh-CN" w:bidi="ar-SA"/>
              </w:rPr>
            </w:pPr>
            <w:r>
              <w:rPr>
                <w:rFonts w:hint="eastAsia" w:ascii="仿宋_GB2312" w:hAnsi="仿宋_GB2312" w:eastAsia="仿宋_GB2312"/>
                <w:color w:val="000000"/>
                <w:sz w:val="18"/>
                <w:highlight w:val="none"/>
                <w:lang w:val="en" w:eastAsia="zh-CN"/>
              </w:rPr>
              <w:t>责令改正；</w:t>
            </w:r>
            <w:r>
              <w:rPr>
                <w:rFonts w:hint="eastAsia" w:ascii="仿宋_GB2312" w:hAnsi="仿宋_GB2312" w:eastAsia="仿宋_GB2312"/>
                <w:color w:val="000000"/>
                <w:sz w:val="18"/>
                <w:highlight w:val="none"/>
              </w:rPr>
              <w:t>没收违法所得；</w:t>
            </w:r>
            <w:r>
              <w:rPr>
                <w:rFonts w:hint="eastAsia" w:ascii="仿宋_GB2312" w:hAnsi="仿宋_GB2312" w:eastAsia="仿宋_GB2312"/>
                <w:color w:val="000000"/>
                <w:sz w:val="18"/>
                <w:highlight w:val="none"/>
                <w:lang w:eastAsia="zh-CN"/>
              </w:rPr>
              <w:t>对单位</w:t>
            </w:r>
            <w:r>
              <w:rPr>
                <w:rFonts w:hint="eastAsia" w:ascii="仿宋_GB2312" w:hAnsi="仿宋_GB2312" w:eastAsia="仿宋_GB2312"/>
                <w:color w:val="000000"/>
                <w:sz w:val="18"/>
                <w:highlight w:val="none"/>
              </w:rPr>
              <w:t>处</w:t>
            </w:r>
            <w:r>
              <w:rPr>
                <w:rFonts w:hint="default"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万元</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10</w:t>
            </w:r>
            <w:r>
              <w:rPr>
                <w:rFonts w:hint="eastAsia" w:ascii="仿宋_GB2312" w:hAnsi="仿宋_GB2312" w:eastAsia="仿宋_GB2312"/>
                <w:color w:val="000000"/>
                <w:sz w:val="18"/>
                <w:highlight w:val="none"/>
                <w:lang w:val="en" w:eastAsia="zh-CN"/>
              </w:rPr>
              <w:t>万元</w:t>
            </w:r>
            <w:r>
              <w:rPr>
                <w:rFonts w:hint="eastAsia" w:ascii="仿宋_GB2312" w:hAnsi="仿宋_GB2312" w:eastAsia="仿宋_GB2312"/>
                <w:color w:val="000000"/>
                <w:sz w:val="18"/>
                <w:highlight w:val="none"/>
              </w:rPr>
              <w:t>的罚款</w:t>
            </w:r>
            <w:r>
              <w:rPr>
                <w:rFonts w:hint="eastAsia" w:ascii="仿宋_GB2312" w:hAnsi="仿宋_GB2312" w:eastAsia="仿宋_GB2312"/>
                <w:color w:val="000000"/>
                <w:sz w:val="18"/>
                <w:highlight w:val="none"/>
                <w:lang w:eastAsia="zh-CN"/>
              </w:rPr>
              <w:t>；</w:t>
            </w:r>
            <w:r>
              <w:rPr>
                <w:rFonts w:hint="eastAsia" w:ascii="仿宋_GB2312" w:hAnsi="仿宋_GB2312" w:eastAsia="仿宋_GB2312"/>
                <w:color w:val="000000"/>
                <w:sz w:val="18"/>
                <w:highlight w:val="none"/>
              </w:rPr>
              <w:t>对单位直接负责的主管人员和其他直接责任人员处单位罚款数额</w:t>
            </w:r>
            <w:r>
              <w:rPr>
                <w:rFonts w:hint="default" w:ascii="仿宋_GB2312" w:hAnsi="仿宋_GB2312" w:eastAsia="仿宋_GB2312"/>
                <w:color w:val="000000"/>
                <w:sz w:val="18"/>
                <w:highlight w:val="none"/>
                <w:lang w:val="en"/>
              </w:rPr>
              <w:t>9</w:t>
            </w:r>
            <w:r>
              <w:rPr>
                <w:rFonts w:hint="eastAsia" w:ascii="仿宋_GB2312" w:hAnsi="仿宋_GB2312" w:eastAsia="仿宋_GB2312"/>
                <w:color w:val="000000"/>
                <w:sz w:val="18"/>
                <w:highlight w:val="none"/>
              </w:rPr>
              <w:t>%</w:t>
            </w:r>
            <w:r>
              <w:rPr>
                <w:rFonts w:hint="eastAsia" w:ascii="仿宋_GB2312" w:hAnsi="仿宋_GB2312" w:eastAsia="仿宋_GB2312"/>
                <w:color w:val="000000"/>
                <w:sz w:val="18"/>
                <w:highlight w:val="none"/>
                <w:lang w:eastAsia="zh-CN"/>
              </w:rPr>
              <w:t>至</w:t>
            </w:r>
            <w:r>
              <w:rPr>
                <w:rFonts w:hint="default" w:ascii="仿宋_GB2312" w:hAnsi="仿宋_GB2312" w:eastAsia="仿宋_GB2312"/>
                <w:color w:val="000000"/>
                <w:sz w:val="18"/>
                <w:highlight w:val="none"/>
                <w:lang w:val="en" w:eastAsia="zh-CN"/>
              </w:rPr>
              <w:t>10%</w:t>
            </w:r>
            <w:r>
              <w:rPr>
                <w:rFonts w:hint="eastAsia" w:ascii="仿宋_GB2312" w:hAnsi="仿宋_GB2312" w:eastAsia="仿宋_GB2312"/>
                <w:color w:val="000000"/>
                <w:sz w:val="18"/>
                <w:highlight w:val="none"/>
              </w:rPr>
              <w:t>的罚款。</w:t>
            </w:r>
          </w:p>
        </w:tc>
      </w:tr>
    </w:tbl>
    <w:p>
      <w:pPr>
        <w:adjustRightInd w:val="0"/>
        <w:snapToGrid w:val="0"/>
        <w:rPr>
          <w:rFonts w:hint="eastAsia" w:ascii="仿宋_GB2312" w:hAnsi="仿宋_GB2312" w:eastAsia="仿宋_GB2312"/>
          <w:sz w:val="24"/>
          <w:highlight w:val="none"/>
        </w:rPr>
      </w:pPr>
      <w:r>
        <w:rPr>
          <w:sz w:val="44"/>
        </w:rPr>
        <mc:AlternateContent>
          <mc:Choice Requires="wps">
            <w:drawing>
              <wp:anchor distT="0" distB="0" distL="114300" distR="114300" simplePos="0" relativeHeight="483206144" behindDoc="0" locked="0" layoutInCell="1" allowOverlap="1">
                <wp:simplePos x="0" y="0"/>
                <wp:positionH relativeFrom="column">
                  <wp:posOffset>-458470</wp:posOffset>
                </wp:positionH>
                <wp:positionV relativeFrom="paragraph">
                  <wp:posOffset>494665</wp:posOffset>
                </wp:positionV>
                <wp:extent cx="443230" cy="793750"/>
                <wp:effectExtent l="0" t="0" r="13970" b="6350"/>
                <wp:wrapNone/>
                <wp:docPr id="61" name="文本框 61"/>
                <wp:cNvGraphicFramePr/>
                <a:graphic xmlns:a="http://schemas.openxmlformats.org/drawingml/2006/main">
                  <a:graphicData uri="http://schemas.microsoft.com/office/word/2010/wordprocessingShape">
                    <wps:wsp>
                      <wps:cNvSpPr txBox="true"/>
                      <wps:spPr>
                        <a:xfrm>
                          <a:off x="0" y="0"/>
                          <a:ext cx="443230" cy="793750"/>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25</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1pt;margin-top:38.95pt;height:62.5pt;width:34.9pt;z-index:483206144;mso-width-relative:page;mso-height-relative:page;" fillcolor="#FFFFFF" filled="t" stroked="f" coordsize="21600,21600" o:gfxdata="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AUGzBPXAAAA&#10;CQEAAA8AAAAAAAAAAQAgAAAAOAAAAGRycy9kb3ducmV2LnhtbFBLAQIUABQAAAAIAIdO4kA6Ohym&#10;QQIAAGQEAAAOAAAAAAAAAAEAIAAAADwBAABkcnMvZTJvRG9jLnhtbFBLBQYAAAAABgAGAFkBAADv&#10;BQ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25</w:t>
                      </w:r>
                      <w:r>
                        <w:rPr>
                          <w:rStyle w:val="18"/>
                          <w:sz w:val="28"/>
                          <w:szCs w:val="28"/>
                        </w:rPr>
                        <w:t xml:space="preserve"> —</w:t>
                      </w:r>
                    </w:p>
                    <w:p>
                      <w:pPr>
                        <w:rPr>
                          <w:rFonts w:hint="default"/>
                          <w:lang w:val="en-US" w:eastAsia="zh-CN"/>
                        </w:rPr>
                      </w:pPr>
                    </w:p>
                  </w:txbxContent>
                </v:textbox>
              </v:shape>
            </w:pict>
          </mc:Fallback>
        </mc:AlternateContent>
      </w:r>
      <w:r>
        <w:rPr>
          <w:rFonts w:hint="eastAsia" w:ascii="仿宋_GB2312" w:hAnsi="仿宋_GB2312" w:eastAsia="仿宋_GB2312"/>
          <w:sz w:val="24"/>
          <w:highlight w:val="none"/>
        </w:rPr>
        <w:br w:type="page"/>
      </w:r>
    </w:p>
    <w:p>
      <w:pPr>
        <w:adjustRightInd w:val="0"/>
        <w:snapToGrid w:val="0"/>
        <w:rPr>
          <w:rFonts w:hint="eastAsia" w:ascii="仿宋_GB2312" w:hAnsi="仿宋_GB2312" w:eastAsia="仿宋_GB2312"/>
          <w:sz w:val="24"/>
          <w:highlight w:val="none"/>
        </w:rPr>
      </w:pPr>
      <w:r>
        <w:rPr>
          <w:sz w:val="44"/>
        </w:rPr>
        <mc:AlternateContent>
          <mc:Choice Requires="wps">
            <w:drawing>
              <wp:anchor distT="0" distB="0" distL="114300" distR="114300" simplePos="0" relativeHeight="501017600" behindDoc="0" locked="0" layoutInCell="1" allowOverlap="1">
                <wp:simplePos x="0" y="0"/>
                <wp:positionH relativeFrom="column">
                  <wp:posOffset>-414020</wp:posOffset>
                </wp:positionH>
                <wp:positionV relativeFrom="paragraph">
                  <wp:posOffset>-429895</wp:posOffset>
                </wp:positionV>
                <wp:extent cx="408305" cy="747395"/>
                <wp:effectExtent l="0" t="0" r="10795" b="14605"/>
                <wp:wrapNone/>
                <wp:docPr id="62" name="文本框 62"/>
                <wp:cNvGraphicFramePr/>
                <a:graphic xmlns:a="http://schemas.openxmlformats.org/drawingml/2006/main">
                  <a:graphicData uri="http://schemas.microsoft.com/office/word/2010/wordprocessingShape">
                    <wps:wsp>
                      <wps:cNvSpPr txBox="true"/>
                      <wps:spPr>
                        <a:xfrm>
                          <a:off x="0" y="0"/>
                          <a:ext cx="408305" cy="747395"/>
                        </a:xfrm>
                        <a:prstGeom prst="rect">
                          <a:avLst/>
                        </a:prstGeom>
                        <a:solidFill>
                          <a:srgbClr val="FFFFFF"/>
                        </a:solidFill>
                        <a:ln w="6350">
                          <a:noFill/>
                        </a:ln>
                        <a:effectLst/>
                      </wps:spPr>
                      <wps:txbx>
                        <w:txbxContent>
                          <w:p>
                            <w:pPr>
                              <w:pStyle w:val="11"/>
                              <w:rPr>
                                <w:rStyle w:val="18"/>
                                <w:sz w:val="28"/>
                                <w:szCs w:val="28"/>
                              </w:rPr>
                            </w:pPr>
                            <w:r>
                              <w:rPr>
                                <w:rStyle w:val="18"/>
                                <w:sz w:val="28"/>
                                <w:szCs w:val="28"/>
                              </w:rPr>
                              <w:t xml:space="preserve">— </w:t>
                            </w:r>
                            <w:r>
                              <w:rPr>
                                <w:rStyle w:val="18"/>
                                <w:rFonts w:hint="eastAsia"/>
                                <w:sz w:val="28"/>
                                <w:szCs w:val="28"/>
                                <w:lang w:val="en-US" w:eastAsia="zh-CN"/>
                              </w:rPr>
                              <w:t>26</w:t>
                            </w:r>
                            <w:r>
                              <w:rPr>
                                <w:rStyle w:val="18"/>
                                <w:sz w:val="28"/>
                                <w:szCs w:val="28"/>
                              </w:rPr>
                              <w:t xml:space="preserve"> —</w:t>
                            </w:r>
                          </w:p>
                          <w:p>
                            <w:pPr>
                              <w:rPr>
                                <w:rFonts w:hint="default"/>
                                <w:lang w:val="en-US"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6pt;margin-top:-33.85pt;height:58.85pt;width:32.15pt;z-index:501017600;mso-width-relative:page;mso-height-relative:page;" fillcolor="#FFFFFF" filled="t" stroked="f" coordsize="21600,21600" o:gfxdata="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VPZr9cA&#10;AAAIAQAADwAAAAAAAAABACAAAAA4AAAAZHJzL2Rvd25yZXYueG1sUEsBAhQAFAAAAAgAh07iQBnA&#10;nGdDAgAAZAQAAA4AAAAAAAAAAQAgAAAAPAEAAGRycy9lMm9Eb2MueG1sUEsFBgAAAAAGAAYAWQEA&#10;APEFAAAAAA==&#10;">
                <v:fill on="t" focussize="0,0"/>
                <v:stroke on="f" weight="0.5pt"/>
                <v:imagedata o:title=""/>
                <o:lock v:ext="edit" aspectratio="f"/>
                <v:textbox style="layout-flow:vertical-ideographic;">
                  <w:txbxContent>
                    <w:p>
                      <w:pPr>
                        <w:pStyle w:val="11"/>
                        <w:rPr>
                          <w:rStyle w:val="18"/>
                          <w:sz w:val="28"/>
                          <w:szCs w:val="28"/>
                        </w:rPr>
                      </w:pPr>
                      <w:r>
                        <w:rPr>
                          <w:rStyle w:val="18"/>
                          <w:sz w:val="28"/>
                          <w:szCs w:val="28"/>
                        </w:rPr>
                        <w:t xml:space="preserve">— </w:t>
                      </w:r>
                      <w:r>
                        <w:rPr>
                          <w:rStyle w:val="18"/>
                          <w:rFonts w:hint="eastAsia"/>
                          <w:sz w:val="28"/>
                          <w:szCs w:val="28"/>
                          <w:lang w:val="en-US" w:eastAsia="zh-CN"/>
                        </w:rPr>
                        <w:t>26</w:t>
                      </w:r>
                      <w:r>
                        <w:rPr>
                          <w:rStyle w:val="18"/>
                          <w:sz w:val="28"/>
                          <w:szCs w:val="28"/>
                        </w:rPr>
                        <w:t xml:space="preserve"> —</w:t>
                      </w:r>
                    </w:p>
                    <w:p>
                      <w:pPr>
                        <w:rPr>
                          <w:rFonts w:hint="default"/>
                          <w:lang w:val="en-US" w:eastAsia="zh-CN"/>
                        </w:rPr>
                      </w:pPr>
                    </w:p>
                  </w:txbxContent>
                </v:textbox>
              </v:shape>
            </w:pict>
          </mc:Fallback>
        </mc:AlternateContent>
      </w:r>
    </w:p>
    <w:p>
      <w:pPr>
        <w:adjustRightInd w:val="0"/>
        <w:snapToGrid w:val="0"/>
        <w:rPr>
          <w:rFonts w:hint="eastAsia" w:ascii="仿宋_GB2312" w:hAnsi="仿宋_GB2312" w:eastAsia="仿宋_GB2312"/>
          <w:sz w:val="24"/>
          <w:highlight w:val="none"/>
        </w:rPr>
      </w:pPr>
    </w:p>
    <w:p>
      <w:pPr>
        <w:adjustRightInd w:val="0"/>
        <w:snapToGrid w:val="0"/>
        <w:rPr>
          <w:rFonts w:hint="eastAsia" w:ascii="仿宋_GB2312" w:hAnsi="仿宋_GB2312" w:eastAsia="仿宋_GB2312"/>
          <w:sz w:val="24"/>
          <w:highlight w:val="none"/>
        </w:rPr>
      </w:pPr>
      <w:r>
        <w:rPr>
          <w:rFonts w:hint="eastAsia" w:ascii="仿宋_GB2312" w:hAnsi="仿宋_GB2312" w:eastAsia="仿宋_GB2312"/>
          <w:sz w:val="24"/>
          <w:highlight w:val="none"/>
        </w:rPr>
        <w:t>注：1.违法情节栏的“以上”包含本数，“以下”不包含本数；</w:t>
      </w:r>
    </w:p>
    <w:p>
      <w:pPr>
        <w:adjustRightInd w:val="0"/>
        <w:snapToGrid w:val="0"/>
        <w:rPr>
          <w:rFonts w:hint="eastAsia" w:ascii="仿宋_GB2312" w:hAnsi="仿宋_GB2312" w:eastAsia="仿宋_GB2312"/>
          <w:sz w:val="24"/>
          <w:highlight w:val="none"/>
        </w:rPr>
      </w:pPr>
      <w:r>
        <w:rPr>
          <w:rFonts w:hint="eastAsia" w:ascii="仿宋_GB2312" w:hAnsi="仿宋_GB2312" w:eastAsia="仿宋_GB2312"/>
          <w:sz w:val="24"/>
          <w:highlight w:val="none"/>
        </w:rPr>
        <w:t>　　</w:t>
      </w:r>
      <w:r>
        <w:rPr>
          <w:rFonts w:ascii="仿宋_GB2312" w:hAnsi="仿宋_GB2312" w:eastAsia="仿宋_GB2312"/>
          <w:sz w:val="24"/>
          <w:highlight w:val="none"/>
          <w:lang w:val="en"/>
        </w:rPr>
        <w:t>2</w:t>
      </w:r>
      <w:r>
        <w:rPr>
          <w:rFonts w:hint="eastAsia" w:ascii="仿宋_GB2312" w:hAnsi="仿宋_GB2312" w:eastAsia="仿宋_GB2312"/>
          <w:sz w:val="24"/>
          <w:highlight w:val="none"/>
        </w:rPr>
        <w:t>.当事人态度端正、积极整改的，可以酌情从轻一个阶次处罚；当事人态度恶劣、消极整改的，可以酌情从重一个阶次处罚；</w:t>
      </w:r>
    </w:p>
    <w:p>
      <w:pPr>
        <w:pStyle w:val="8"/>
        <w:ind w:firstLine="480" w:firstLineChars="200"/>
        <w:rPr>
          <w:rFonts w:hint="default" w:ascii="仿宋_GB2312" w:hAnsi="仿宋_GB2312" w:eastAsia="仿宋_GB2312"/>
          <w:sz w:val="24"/>
          <w:highlight w:val="none"/>
        </w:rPr>
      </w:pPr>
      <w:r>
        <w:rPr>
          <w:rFonts w:hint="default" w:ascii="仿宋_GB2312" w:hAnsi="仿宋_GB2312" w:eastAsia="仿宋_GB2312"/>
          <w:sz w:val="24"/>
          <w:highlight w:val="none"/>
          <w:lang w:val="en"/>
        </w:rPr>
        <w:t>3.</w:t>
      </w:r>
      <w:r>
        <w:rPr>
          <w:rFonts w:ascii="仿宋_GB2312" w:hAnsi="仿宋_GB2312" w:eastAsia="仿宋_GB2312"/>
          <w:sz w:val="24"/>
          <w:highlight w:val="none"/>
          <w:lang w:val="en"/>
        </w:rPr>
        <w:t>涉及本裁量基准第</w:t>
      </w:r>
      <w:r>
        <w:rPr>
          <w:rFonts w:hint="default" w:ascii="仿宋_GB2312" w:hAnsi="仿宋_GB2312" w:eastAsia="仿宋_GB2312"/>
          <w:sz w:val="24"/>
          <w:highlight w:val="none"/>
          <w:lang w:val="en"/>
        </w:rPr>
        <w:t>8</w:t>
      </w:r>
      <w:r>
        <w:rPr>
          <w:rFonts w:ascii="仿宋_GB2312" w:hAnsi="仿宋_GB2312" w:eastAsia="仿宋_GB2312"/>
          <w:sz w:val="24"/>
          <w:highlight w:val="none"/>
          <w:lang w:val="en"/>
        </w:rPr>
        <w:t>、</w:t>
      </w:r>
      <w:r>
        <w:rPr>
          <w:rFonts w:hint="default" w:ascii="仿宋_GB2312" w:hAnsi="仿宋_GB2312" w:eastAsia="仿宋_GB2312"/>
          <w:sz w:val="24"/>
          <w:highlight w:val="none"/>
          <w:lang w:val="en"/>
        </w:rPr>
        <w:t>14</w:t>
      </w:r>
      <w:r>
        <w:rPr>
          <w:rFonts w:ascii="仿宋_GB2312" w:hAnsi="仿宋_GB2312" w:eastAsia="仿宋_GB2312"/>
          <w:sz w:val="24"/>
          <w:highlight w:val="none"/>
          <w:lang w:val="en"/>
        </w:rPr>
        <w:t>、</w:t>
      </w:r>
      <w:r>
        <w:rPr>
          <w:rFonts w:hint="default" w:ascii="仿宋_GB2312" w:hAnsi="仿宋_GB2312" w:eastAsia="仿宋_GB2312"/>
          <w:sz w:val="24"/>
          <w:highlight w:val="none"/>
          <w:lang w:val="en"/>
        </w:rPr>
        <w:t>20</w:t>
      </w:r>
      <w:r>
        <w:rPr>
          <w:rFonts w:ascii="仿宋_GB2312" w:hAnsi="仿宋_GB2312" w:eastAsia="仿宋_GB2312"/>
          <w:sz w:val="24"/>
          <w:highlight w:val="none"/>
          <w:lang w:val="en"/>
        </w:rPr>
        <w:t>项，逾期时间不满</w:t>
      </w:r>
      <w:r>
        <w:rPr>
          <w:rFonts w:hint="default" w:ascii="仿宋_GB2312" w:hAnsi="仿宋_GB2312" w:eastAsia="仿宋_GB2312"/>
          <w:sz w:val="24"/>
          <w:highlight w:val="none"/>
          <w:lang w:val="en"/>
        </w:rPr>
        <w:t>1</w:t>
      </w:r>
      <w:r>
        <w:rPr>
          <w:rFonts w:ascii="仿宋_GB2312" w:hAnsi="仿宋_GB2312" w:eastAsia="仿宋_GB2312"/>
          <w:sz w:val="24"/>
          <w:highlight w:val="none"/>
          <w:lang w:val="en"/>
        </w:rPr>
        <w:t>天按１天计</w:t>
      </w:r>
      <w:r>
        <w:rPr>
          <w:rFonts w:ascii="仿宋_GB2312" w:hAnsi="仿宋_GB2312" w:eastAsia="仿宋_GB2312"/>
          <w:sz w:val="24"/>
          <w:highlight w:val="none"/>
        </w:rPr>
        <w:t>；</w:t>
      </w:r>
    </w:p>
    <w:p>
      <w:pPr>
        <w:adjustRightInd w:val="0"/>
        <w:snapToGrid w:val="0"/>
        <w:ind w:firstLine="480" w:firstLineChars="200"/>
        <w:rPr>
          <w:rFonts w:ascii="仿宋_GB2312" w:hAnsi="仿宋_GB2312" w:eastAsia="仿宋_GB2312"/>
          <w:sz w:val="24"/>
          <w:highlight w:val="none"/>
        </w:rPr>
      </w:pPr>
      <w:r>
        <w:rPr>
          <w:rFonts w:ascii="仿宋_GB2312" w:hAnsi="仿宋_GB2312" w:eastAsia="仿宋_GB2312"/>
          <w:sz w:val="24"/>
          <w:highlight w:val="none"/>
          <w:lang w:val="en"/>
        </w:rPr>
        <w:t>4</w:t>
      </w:r>
      <w:r>
        <w:rPr>
          <w:rFonts w:hint="eastAsia" w:ascii="仿宋_GB2312" w:hAnsi="仿宋_GB2312" w:eastAsia="仿宋_GB2312"/>
          <w:sz w:val="24"/>
          <w:highlight w:val="none"/>
        </w:rPr>
        <w:t>.工程质量事故等级划分标准，按《关于进一步规范房屋建筑和市政工程生产安全事故报告和调查处理工作的若干意见》（建质〔2007〕257号）和《关于做好房屋建筑和市政基础设施工程质量事故报告和调查处理工作的通知》（建质〔2010〕111号）规定执行；</w:t>
      </w:r>
    </w:p>
    <w:p>
      <w:pPr>
        <w:adjustRightInd w:val="0"/>
        <w:snapToGrid w:val="0"/>
        <w:ind w:firstLine="480" w:firstLineChars="200"/>
        <w:rPr>
          <w:rFonts w:ascii="仿宋_GB2312" w:hAnsi="仿宋_GB2312" w:eastAsia="仿宋_GB2312"/>
          <w:sz w:val="24"/>
          <w:highlight w:val="none"/>
        </w:rPr>
      </w:pPr>
      <w:r>
        <w:rPr>
          <w:rFonts w:ascii="仿宋_GB2312" w:hAnsi="仿宋_GB2312" w:eastAsia="仿宋_GB2312"/>
          <w:sz w:val="24"/>
          <w:highlight w:val="none"/>
          <w:lang w:val="en"/>
        </w:rPr>
        <w:t>5</w:t>
      </w:r>
      <w:r>
        <w:rPr>
          <w:rFonts w:hint="eastAsia" w:ascii="仿宋_GB2312" w:hAnsi="仿宋_GB2312" w:eastAsia="仿宋_GB2312"/>
          <w:sz w:val="24"/>
          <w:highlight w:val="none"/>
        </w:rPr>
        <w:t>.责令停业整顿，降低资质等级和吊销资质证书的行政处罚，依照《建设工程质量管理条例》第七十五条规定报有权机关决定。</w:t>
      </w:r>
    </w:p>
    <w:p>
      <w:pPr>
        <w:rPr>
          <w:highlight w:val="none"/>
          <w:lang w:val="en"/>
        </w:rPr>
      </w:pPr>
    </w:p>
    <w:p>
      <w:pPr>
        <w:pStyle w:val="8"/>
        <w:adjustRightInd w:val="0"/>
        <w:snapToGrid w:val="0"/>
        <w:rPr>
          <w:rFonts w:hint="default" w:ascii="仿宋_GB2312" w:hAnsi="仿宋_GB2312" w:eastAsia="仿宋_GB2312" w:cs="仿宋_GB2312"/>
          <w:sz w:val="28"/>
          <w:szCs w:val="28"/>
          <w:highlight w:val="none"/>
          <w:lang w:val="en"/>
        </w:rPr>
      </w:pPr>
    </w:p>
    <w:p>
      <w:pPr>
        <w:pStyle w:val="13"/>
        <w:keepNext w:val="0"/>
        <w:keepLines w:val="0"/>
        <w:widowControl/>
        <w:suppressLineNumbers w:val="0"/>
        <w:spacing w:before="0" w:beforeAutospacing="0" w:after="0" w:afterAutospacing="0"/>
        <w:ind w:left="0" w:right="0" w:firstLine="0"/>
      </w:pPr>
      <w:r>
        <w:t>以上事项</w:t>
      </w:r>
      <w:r>
        <w:rPr>
          <w:rFonts w:hint="eastAsia"/>
          <w:lang w:eastAsia="zh-CN"/>
        </w:rPr>
        <w:t>除序号</w:t>
      </w:r>
      <w:r>
        <w:rPr>
          <w:rFonts w:hint="eastAsia"/>
          <w:lang w:val="en-US" w:eastAsia="zh-CN"/>
        </w:rPr>
        <w:t>20</w:t>
      </w:r>
      <w:bookmarkStart w:id="1" w:name="_GoBack"/>
      <w:bookmarkEnd w:id="1"/>
      <w:r>
        <w:rPr>
          <w:rFonts w:hint="eastAsia"/>
          <w:lang w:val="en-US" w:eastAsia="zh-CN"/>
        </w:rPr>
        <w:t>，其余</w:t>
      </w:r>
      <w:r>
        <w:t>均已经划转至综合执法部门</w:t>
      </w:r>
    </w:p>
    <w:p>
      <w:pPr>
        <w:pStyle w:val="20"/>
      </w:pPr>
    </w:p>
    <w:p>
      <w:pPr>
        <w:pStyle w:val="20"/>
      </w:pPr>
    </w:p>
    <w:p>
      <w:pPr>
        <w:pStyle w:val="20"/>
      </w:pPr>
    </w:p>
    <w:p>
      <w:pPr>
        <w:pStyle w:val="20"/>
      </w:pPr>
    </w:p>
    <w:p>
      <w:pPr>
        <w:pStyle w:val="20"/>
      </w:pPr>
    </w:p>
    <w:p>
      <w:pPr>
        <w:pStyle w:val="20"/>
      </w:pPr>
    </w:p>
    <w:p>
      <w:pPr>
        <w:pStyle w:val="20"/>
      </w:pPr>
    </w:p>
    <w:p>
      <w:pPr>
        <w:pStyle w:val="20"/>
        <w:sectPr>
          <w:footerReference r:id="rId5" w:type="default"/>
          <w:pgSz w:w="16838" w:h="11906" w:orient="landscape"/>
          <w:pgMar w:top="1587" w:right="2098" w:bottom="1474" w:left="1984" w:header="851" w:footer="1361" w:gutter="0"/>
          <w:pgNumType w:fmt="decimal"/>
          <w:cols w:space="0" w:num="1"/>
          <w:rtlGutter w:val="0"/>
          <w:docGrid w:linePitch="408" w:charSpace="0"/>
        </w:sect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rPr>
          <w:sz w:val="36"/>
          <w:szCs w:val="36"/>
        </w:rPr>
        <w:sectPr>
          <w:pgSz w:w="16838" w:h="11906" w:orient="landscape"/>
          <w:pgMar w:top="1587" w:right="2098" w:bottom="1474" w:left="1984" w:header="851" w:footer="1361" w:gutter="0"/>
          <w:pgNumType w:fmt="decimal"/>
          <w:cols w:space="0" w:num="1"/>
          <w:rtlGutter w:val="0"/>
          <w:docGrid w:linePitch="408" w:charSpace="0"/>
        </w:sectPr>
      </w:pPr>
    </w:p>
    <w:p>
      <w:pPr>
        <w:pStyle w:val="20"/>
        <w:ind w:left="0" w:leftChars="0" w:firstLine="0" w:firstLineChars="0"/>
        <w:rPr>
          <w:sz w:val="36"/>
          <w:szCs w:val="36"/>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sectPr>
      <w:pgSz w:w="11906" w:h="16838"/>
      <w:pgMar w:top="2098" w:right="1474" w:bottom="1984" w:left="1587" w:header="851" w:footer="1361" w:gutter="0"/>
      <w:pgNumType w:fmt="decimal"/>
      <w:cols w:space="0" w:num="1"/>
      <w:rtlGutter w:val="0"/>
      <w:docGrid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EF"/>
    <w:rsid w:val="00092D37"/>
    <w:rsid w:val="000B6508"/>
    <w:rsid w:val="000D4B55"/>
    <w:rsid w:val="00171876"/>
    <w:rsid w:val="00203DF5"/>
    <w:rsid w:val="00217F53"/>
    <w:rsid w:val="00261871"/>
    <w:rsid w:val="002978CF"/>
    <w:rsid w:val="002C2166"/>
    <w:rsid w:val="002F0C71"/>
    <w:rsid w:val="002F4680"/>
    <w:rsid w:val="00313091"/>
    <w:rsid w:val="00322AFB"/>
    <w:rsid w:val="0034520E"/>
    <w:rsid w:val="00377B63"/>
    <w:rsid w:val="00397775"/>
    <w:rsid w:val="003A7E88"/>
    <w:rsid w:val="003B4E80"/>
    <w:rsid w:val="003C5181"/>
    <w:rsid w:val="004168F8"/>
    <w:rsid w:val="00483C63"/>
    <w:rsid w:val="004C246E"/>
    <w:rsid w:val="004F3F3E"/>
    <w:rsid w:val="005361F5"/>
    <w:rsid w:val="005506F3"/>
    <w:rsid w:val="005953F2"/>
    <w:rsid w:val="005A4A57"/>
    <w:rsid w:val="00645AD8"/>
    <w:rsid w:val="00685FA6"/>
    <w:rsid w:val="006B1E1E"/>
    <w:rsid w:val="006D071D"/>
    <w:rsid w:val="006E3349"/>
    <w:rsid w:val="00707FB0"/>
    <w:rsid w:val="00711B1D"/>
    <w:rsid w:val="007225D1"/>
    <w:rsid w:val="007A0B84"/>
    <w:rsid w:val="007B269E"/>
    <w:rsid w:val="007C2107"/>
    <w:rsid w:val="007F3C1E"/>
    <w:rsid w:val="008005D4"/>
    <w:rsid w:val="0080509B"/>
    <w:rsid w:val="008B3F13"/>
    <w:rsid w:val="008E4EB1"/>
    <w:rsid w:val="00927BBA"/>
    <w:rsid w:val="0099753E"/>
    <w:rsid w:val="009C2EC1"/>
    <w:rsid w:val="00A04732"/>
    <w:rsid w:val="00A07C41"/>
    <w:rsid w:val="00A227BF"/>
    <w:rsid w:val="00A357F0"/>
    <w:rsid w:val="00AA30DE"/>
    <w:rsid w:val="00AF0A1A"/>
    <w:rsid w:val="00AF65A5"/>
    <w:rsid w:val="00B04F43"/>
    <w:rsid w:val="00B42DA6"/>
    <w:rsid w:val="00B76D4F"/>
    <w:rsid w:val="00BD5B7E"/>
    <w:rsid w:val="00C24A33"/>
    <w:rsid w:val="00C33965"/>
    <w:rsid w:val="00C346C8"/>
    <w:rsid w:val="00C417EF"/>
    <w:rsid w:val="00C51BB6"/>
    <w:rsid w:val="00CE09D0"/>
    <w:rsid w:val="00CE20A0"/>
    <w:rsid w:val="00CF734A"/>
    <w:rsid w:val="00D11774"/>
    <w:rsid w:val="00D21922"/>
    <w:rsid w:val="00D23EE8"/>
    <w:rsid w:val="00D90E07"/>
    <w:rsid w:val="00DF03C1"/>
    <w:rsid w:val="00DF06FD"/>
    <w:rsid w:val="00DF37F6"/>
    <w:rsid w:val="00E01AD2"/>
    <w:rsid w:val="00E70E2A"/>
    <w:rsid w:val="00E8558A"/>
    <w:rsid w:val="00E93D89"/>
    <w:rsid w:val="00EA1366"/>
    <w:rsid w:val="00EF2C3C"/>
    <w:rsid w:val="00F11F98"/>
    <w:rsid w:val="00F257C1"/>
    <w:rsid w:val="00F3285E"/>
    <w:rsid w:val="00F431F6"/>
    <w:rsid w:val="00F4701F"/>
    <w:rsid w:val="00F51FD1"/>
    <w:rsid w:val="00F535D3"/>
    <w:rsid w:val="00F575B8"/>
    <w:rsid w:val="00F76E05"/>
    <w:rsid w:val="00FD7F08"/>
    <w:rsid w:val="0F2C5425"/>
    <w:rsid w:val="1B37353C"/>
    <w:rsid w:val="2AFF4A9F"/>
    <w:rsid w:val="2D9FB409"/>
    <w:rsid w:val="33F34F6D"/>
    <w:rsid w:val="37BED5F9"/>
    <w:rsid w:val="3B7F6E10"/>
    <w:rsid w:val="3BFF88D4"/>
    <w:rsid w:val="3CB7DF36"/>
    <w:rsid w:val="3D375960"/>
    <w:rsid w:val="3DBFF9B5"/>
    <w:rsid w:val="3EDA86D9"/>
    <w:rsid w:val="3F9424EB"/>
    <w:rsid w:val="3FD45E18"/>
    <w:rsid w:val="4171287F"/>
    <w:rsid w:val="45150BD9"/>
    <w:rsid w:val="4FBF46A4"/>
    <w:rsid w:val="502C594A"/>
    <w:rsid w:val="54B0233B"/>
    <w:rsid w:val="5C705EF2"/>
    <w:rsid w:val="5E7FB1A4"/>
    <w:rsid w:val="5EF10EF1"/>
    <w:rsid w:val="5EF3D6B8"/>
    <w:rsid w:val="5FBB1A7B"/>
    <w:rsid w:val="60CF1385"/>
    <w:rsid w:val="62787C1D"/>
    <w:rsid w:val="63FE57F2"/>
    <w:rsid w:val="65174DB8"/>
    <w:rsid w:val="67921368"/>
    <w:rsid w:val="67DF66FA"/>
    <w:rsid w:val="68FF3EAD"/>
    <w:rsid w:val="6AC64782"/>
    <w:rsid w:val="6B6699FE"/>
    <w:rsid w:val="6BF6BA9A"/>
    <w:rsid w:val="6EAF58B8"/>
    <w:rsid w:val="6EF2A251"/>
    <w:rsid w:val="6FA43B06"/>
    <w:rsid w:val="6FFF1D32"/>
    <w:rsid w:val="72FF5745"/>
    <w:rsid w:val="743F6514"/>
    <w:rsid w:val="76F7A9A3"/>
    <w:rsid w:val="77FB9343"/>
    <w:rsid w:val="77FFD471"/>
    <w:rsid w:val="7BDD5C3B"/>
    <w:rsid w:val="7BFDCB3B"/>
    <w:rsid w:val="7BFFE3E2"/>
    <w:rsid w:val="7DED919C"/>
    <w:rsid w:val="7DF77C26"/>
    <w:rsid w:val="7E37F86A"/>
    <w:rsid w:val="7EBD9271"/>
    <w:rsid w:val="7EEB0735"/>
    <w:rsid w:val="7F64425E"/>
    <w:rsid w:val="7FBE7031"/>
    <w:rsid w:val="7FD1784B"/>
    <w:rsid w:val="7FDEEB29"/>
    <w:rsid w:val="7FFF80CC"/>
    <w:rsid w:val="95F4DBA8"/>
    <w:rsid w:val="97774A68"/>
    <w:rsid w:val="A6D29860"/>
    <w:rsid w:val="AA99BCC0"/>
    <w:rsid w:val="B7FE9275"/>
    <w:rsid w:val="BED9C006"/>
    <w:rsid w:val="BF77B6F8"/>
    <w:rsid w:val="BFBFD4BE"/>
    <w:rsid w:val="C4AF3346"/>
    <w:rsid w:val="C7FD2FD9"/>
    <w:rsid w:val="C9ED2857"/>
    <w:rsid w:val="DDB5A092"/>
    <w:rsid w:val="DDBFD8BB"/>
    <w:rsid w:val="DE7D6F17"/>
    <w:rsid w:val="DEFF3662"/>
    <w:rsid w:val="E5BB5EF5"/>
    <w:rsid w:val="E6BB3867"/>
    <w:rsid w:val="EAFB55E3"/>
    <w:rsid w:val="EDF7D59D"/>
    <w:rsid w:val="EF6D8E62"/>
    <w:rsid w:val="EFF720F2"/>
    <w:rsid w:val="F5DFC01E"/>
    <w:rsid w:val="F7C56035"/>
    <w:rsid w:val="F7DBE951"/>
    <w:rsid w:val="FBAFA46D"/>
    <w:rsid w:val="FD7F77F4"/>
    <w:rsid w:val="FDDE0F07"/>
    <w:rsid w:val="FDEF7179"/>
    <w:rsid w:val="FEBE28DC"/>
    <w:rsid w:val="FF5BAB6B"/>
    <w:rsid w:val="FFFDA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paragraph" w:styleId="3">
    <w:name w:val="heading 2"/>
    <w:basedOn w:val="1"/>
    <w:next w:val="4"/>
    <w:link w:val="34"/>
    <w:qFormat/>
    <w:uiPriority w:val="0"/>
    <w:pPr>
      <w:keepNext/>
      <w:keepLines/>
      <w:spacing w:beforeLines="0" w:beforeAutospacing="0" w:afterLines="0" w:afterAutospacing="0" w:line="560" w:lineRule="exact"/>
      <w:ind w:firstLine="880" w:firstLineChars="200"/>
      <w:outlineLvl w:val="1"/>
    </w:pPr>
    <w:rPr>
      <w:rFonts w:ascii="Arial" w:hAnsi="Arial" w:eastAsia="方正黑体_GBK"/>
      <w:sz w:val="32"/>
    </w:rPr>
  </w:style>
  <w:style w:type="paragraph" w:styleId="4">
    <w:name w:val="heading 3"/>
    <w:basedOn w:val="3"/>
    <w:next w:val="1"/>
    <w:link w:val="33"/>
    <w:qFormat/>
    <w:uiPriority w:val="0"/>
    <w:pPr>
      <w:keepNext/>
      <w:keepLines/>
      <w:spacing w:beforeLines="0" w:beforeAutospacing="0" w:afterLines="0" w:afterAutospacing="0" w:line="560" w:lineRule="exact"/>
      <w:ind w:firstLine="642" w:firstLineChars="200"/>
      <w:outlineLvl w:val="2"/>
    </w:pPr>
    <w:rPr>
      <w:rFonts w:eastAsia="楷体_GB231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Normal Indent"/>
    <w:basedOn w:val="1"/>
    <w:qFormat/>
    <w:uiPriority w:val="0"/>
    <w:pPr>
      <w:ind w:firstLine="420"/>
    </w:pPr>
  </w:style>
  <w:style w:type="paragraph" w:styleId="6">
    <w:name w:val="Body Text"/>
    <w:basedOn w:val="1"/>
    <w:link w:val="24"/>
    <w:qFormat/>
    <w:uiPriority w:val="0"/>
    <w:pPr>
      <w:adjustRightInd/>
      <w:snapToGrid/>
      <w:spacing w:line="240" w:lineRule="auto"/>
      <w:jc w:val="center"/>
    </w:pPr>
    <w:rPr>
      <w:rFonts w:ascii="Times New Roman" w:eastAsia="黑体"/>
      <w:sz w:val="44"/>
    </w:rPr>
  </w:style>
  <w:style w:type="paragraph" w:styleId="7">
    <w:name w:val="Body Text Indent"/>
    <w:basedOn w:val="1"/>
    <w:next w:val="5"/>
    <w:qFormat/>
    <w:uiPriority w:val="0"/>
    <w:pPr>
      <w:ind w:firstLine="560" w:firstLineChars="200"/>
    </w:pPr>
    <w:rPr>
      <w:rFonts w:ascii="仿宋_GB2312"/>
      <w:sz w:val="28"/>
    </w:rPr>
  </w:style>
  <w:style w:type="paragraph" w:styleId="8">
    <w:name w:val="Plain Text"/>
    <w:qFormat/>
    <w:uiPriority w:val="0"/>
    <w:pPr>
      <w:widowControl w:val="0"/>
      <w:jc w:val="both"/>
    </w:pPr>
    <w:rPr>
      <w:rFonts w:hint="eastAsia" w:ascii="宋体" w:hAnsi="Courier New" w:eastAsia="宋体" w:cs="Courier New"/>
      <w:kern w:val="2"/>
      <w:sz w:val="21"/>
      <w:szCs w:val="21"/>
      <w:lang w:val="en-US" w:eastAsia="zh-CN" w:bidi="ar-SA"/>
    </w:rPr>
  </w:style>
  <w:style w:type="paragraph" w:styleId="9">
    <w:name w:val="Body Text Indent 2"/>
    <w:basedOn w:val="1"/>
    <w:qFormat/>
    <w:uiPriority w:val="0"/>
    <w:pPr>
      <w:spacing w:after="120" w:afterLines="0" w:afterAutospacing="0" w:line="480" w:lineRule="auto"/>
      <w:ind w:left="420" w:leftChars="200"/>
    </w:pPr>
  </w:style>
  <w:style w:type="paragraph" w:styleId="10">
    <w:name w:val="Balloon Text"/>
    <w:basedOn w:val="1"/>
    <w:link w:val="27"/>
    <w:unhideWhenUsed/>
    <w:qFormat/>
    <w:uiPriority w:val="99"/>
    <w:pPr>
      <w:spacing w:line="240" w:lineRule="auto"/>
    </w:pPr>
    <w:rPr>
      <w:sz w:val="18"/>
      <w:szCs w:val="18"/>
    </w:rPr>
  </w:style>
  <w:style w:type="paragraph" w:styleId="11">
    <w:name w:val="footer"/>
    <w:basedOn w:val="1"/>
    <w:link w:val="23"/>
    <w:unhideWhenUsed/>
    <w:qFormat/>
    <w:uiPriority w:val="0"/>
    <w:pPr>
      <w:tabs>
        <w:tab w:val="center" w:pos="4153"/>
        <w:tab w:val="right" w:pos="8306"/>
      </w:tabs>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7"/>
    <w:qFormat/>
    <w:uiPriority w:val="0"/>
    <w:pPr>
      <w:ind w:firstLine="420" w:firstLineChars="200"/>
    </w:pPr>
    <w:rPr>
      <w:rFonts w:ascii="Times New Roman" w:hAnsi="Times New Roman" w:eastAsia="宋体" w:cs="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u w:val="single"/>
    </w:rPr>
  </w:style>
  <w:style w:type="paragraph" w:customStyle="1" w:styleId="20">
    <w:name w:val="Body Text First Indent 21"/>
    <w:basedOn w:val="21"/>
    <w:qFormat/>
    <w:uiPriority w:val="0"/>
    <w:pPr>
      <w:ind w:firstLine="420"/>
    </w:pPr>
    <w:rPr>
      <w:rFonts w:ascii="Times New Roman" w:eastAsia="宋体"/>
    </w:rPr>
  </w:style>
  <w:style w:type="paragraph" w:customStyle="1" w:styleId="21">
    <w:name w:val="Body Text Indent1"/>
    <w:basedOn w:val="1"/>
    <w:qFormat/>
    <w:uiPriority w:val="0"/>
    <w:pPr>
      <w:ind w:firstLine="560" w:firstLineChars="200"/>
    </w:pPr>
    <w:rPr>
      <w:sz w:val="28"/>
    </w:rPr>
  </w:style>
  <w:style w:type="character" w:customStyle="1" w:styleId="22">
    <w:name w:val="页眉 Char"/>
    <w:basedOn w:val="17"/>
    <w:link w:val="12"/>
    <w:qFormat/>
    <w:uiPriority w:val="99"/>
    <w:rPr>
      <w:sz w:val="18"/>
      <w:szCs w:val="18"/>
    </w:rPr>
  </w:style>
  <w:style w:type="character" w:customStyle="1" w:styleId="23">
    <w:name w:val="页脚 Char"/>
    <w:basedOn w:val="17"/>
    <w:link w:val="11"/>
    <w:qFormat/>
    <w:uiPriority w:val="0"/>
    <w:rPr>
      <w:sz w:val="18"/>
      <w:szCs w:val="18"/>
    </w:rPr>
  </w:style>
  <w:style w:type="character" w:customStyle="1" w:styleId="24">
    <w:name w:val="正文文本 Char"/>
    <w:basedOn w:val="17"/>
    <w:link w:val="6"/>
    <w:qFormat/>
    <w:uiPriority w:val="0"/>
    <w:rPr>
      <w:rFonts w:ascii="Times New Roman" w:hAnsi="Times New Roman" w:eastAsia="黑体" w:cs="Times New Roman"/>
      <w:sz w:val="44"/>
      <w:szCs w:val="24"/>
    </w:rPr>
  </w:style>
  <w:style w:type="paragraph" w:customStyle="1" w:styleId="25">
    <w:name w:val="List Paragraph"/>
    <w:basedOn w:val="1"/>
    <w:qFormat/>
    <w:uiPriority w:val="34"/>
    <w:pPr>
      <w:ind w:firstLine="420" w:firstLineChars="200"/>
    </w:pPr>
  </w:style>
  <w:style w:type="paragraph" w:customStyle="1" w:styleId="26">
    <w:name w:val="_Style 1"/>
    <w:basedOn w:val="1"/>
    <w:qFormat/>
    <w:uiPriority w:val="0"/>
    <w:pPr>
      <w:widowControl/>
      <w:adjustRightInd/>
      <w:snapToGrid/>
      <w:spacing w:after="160" w:line="240" w:lineRule="exact"/>
      <w:jc w:val="left"/>
    </w:pPr>
    <w:rPr>
      <w:rFonts w:ascii="Times New Roman" w:eastAsia="宋体"/>
      <w:sz w:val="21"/>
      <w:szCs w:val="20"/>
    </w:rPr>
  </w:style>
  <w:style w:type="character" w:customStyle="1" w:styleId="27">
    <w:name w:val="批注框文本 Char"/>
    <w:basedOn w:val="17"/>
    <w:link w:val="10"/>
    <w:semiHidden/>
    <w:qFormat/>
    <w:uiPriority w:val="99"/>
    <w:rPr>
      <w:rFonts w:ascii="仿宋_GB2312" w:hAnsi="Times New Roman" w:eastAsia="仿宋_GB2312" w:cs="Times New Roman"/>
      <w:sz w:val="18"/>
      <w:szCs w:val="18"/>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Char"/>
    <w:basedOn w:val="1"/>
    <w:qFormat/>
    <w:uiPriority w:val="0"/>
    <w:rPr>
      <w:rFonts w:eastAsia="宋体"/>
    </w:rPr>
  </w:style>
  <w:style w:type="paragraph" w:customStyle="1" w:styleId="30">
    <w:name w:val="Body Text First Indent 2"/>
    <w:basedOn w:val="31"/>
    <w:qFormat/>
    <w:uiPriority w:val="0"/>
    <w:pPr>
      <w:adjustRightInd/>
      <w:spacing w:after="120" w:afterLines="0" w:line="240" w:lineRule="auto"/>
      <w:ind w:left="420" w:leftChars="200" w:firstLine="210"/>
    </w:pPr>
    <w:rPr>
      <w:sz w:val="21"/>
    </w:rPr>
  </w:style>
  <w:style w:type="paragraph" w:customStyle="1" w:styleId="31">
    <w:name w:val="Body Text Indent"/>
    <w:basedOn w:val="1"/>
    <w:qFormat/>
    <w:uiPriority w:val="0"/>
    <w:pPr>
      <w:spacing w:line="240" w:lineRule="auto"/>
      <w:ind w:firstLine="560" w:firstLineChars="200"/>
    </w:pPr>
    <w:rPr>
      <w:sz w:val="28"/>
    </w:rPr>
  </w:style>
  <w:style w:type="paragraph" w:customStyle="1" w:styleId="32">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character" w:customStyle="1" w:styleId="33">
    <w:name w:val="标题 3 字符"/>
    <w:link w:val="4"/>
    <w:qFormat/>
    <w:uiPriority w:val="0"/>
    <w:rPr>
      <w:rFonts w:eastAsia="楷体_GB2312"/>
    </w:rPr>
  </w:style>
  <w:style w:type="character" w:customStyle="1" w:styleId="34">
    <w:name w:val="标题 2 字符"/>
    <w:link w:val="3"/>
    <w:qFormat/>
    <w:uiPriority w:val="0"/>
    <w:rPr>
      <w:rFonts w:ascii="Arial" w:hAnsi="Arial" w:eastAsia="方正黑体_GBK"/>
      <w:sz w:val="32"/>
    </w:rPr>
  </w:style>
  <w:style w:type="paragraph" w:customStyle="1" w:styleId="35">
    <w:name w:val="正文首行缩进 21"/>
    <w:basedOn w:val="36"/>
    <w:qFormat/>
    <w:uiPriority w:val="0"/>
    <w:pPr>
      <w:ind w:firstLine="420" w:firstLineChars="200"/>
    </w:pPr>
  </w:style>
  <w:style w:type="paragraph" w:customStyle="1" w:styleId="36">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Words>
  <Characters>293</Characters>
  <Lines>2</Lines>
  <Paragraphs>1</Paragraphs>
  <TotalTime>12</TotalTime>
  <ScaleCrop>false</ScaleCrop>
  <LinksUpToDate>false</LinksUpToDate>
  <CharactersWithSpaces>343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2009-07-28T08:30:00Z</dcterms:created>
  <dc:creator>dell</dc:creator>
  <cp:lastModifiedBy>user</cp:lastModifiedBy>
  <cp:lastPrinted>2023-07-06T00:59:00Z</cp:lastPrinted>
  <dcterms:modified xsi:type="dcterms:W3CDTF">2023-11-23T08:44:34Z</dcterms:modified>
  <dc:title>    </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