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Ansi="黑体"/>
          <w:color w:val="000000" w:themeColor="text1"/>
          <w:sz w:val="32"/>
          <w:szCs w:val="32"/>
          <w14:textFill>
            <w14:solidFill>
              <w14:schemeClr w14:val="tx1"/>
            </w14:solidFill>
          </w14:textFill>
        </w:rPr>
      </w:pPr>
      <w:r>
        <w:rPr>
          <w:rFonts w:hint="eastAsia" w:eastAsia="黑体"/>
          <w:sz w:val="32"/>
          <w:szCs w:val="32"/>
          <w:lang w:val="en-US" w:eastAsia="zh-CN"/>
        </w:rPr>
        <w:t xml:space="preserve"> </w:t>
      </w:r>
      <w:r>
        <w:rPr>
          <w:rFonts w:hint="eastAsia" w:hAnsi="黑体"/>
          <w:color w:val="000000" w:themeColor="text1"/>
          <w:sz w:val="32"/>
          <w:szCs w:val="32"/>
          <w14:textFill>
            <w14:solidFill>
              <w14:schemeClr w14:val="tx1"/>
            </w14:solidFill>
          </w14:textFill>
        </w:rPr>
        <w:t>ZJSP41-2020-000</w:t>
      </w:r>
      <w:r>
        <w:rPr>
          <w:rFonts w:hint="eastAsia" w:hAnsi="黑体"/>
          <w:color w:val="000000" w:themeColor="text1"/>
          <w:sz w:val="32"/>
          <w:szCs w:val="32"/>
          <w:lang w:val="en-US" w:eastAsia="zh-CN"/>
          <w14:textFill>
            <w14:solidFill>
              <w14:schemeClr w14:val="tx1"/>
            </w14:solidFill>
          </w14:textFill>
        </w:rPr>
        <w:t>2</w:t>
      </w: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pPr>
    </w:p>
    <w:p>
      <w:pPr>
        <w:tabs>
          <w:tab w:val="left" w:pos="1035"/>
        </w:tabs>
        <w:adjustRightInd w:val="0"/>
        <w:snapToGrid w:val="0"/>
        <w:spacing w:line="360" w:lineRule="auto"/>
        <w:jc w:val="cente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spacing w:line="360" w:lineRule="auto"/>
        <w:jc w:val="center"/>
        <w:rPr>
          <w:sz w:val="32"/>
          <w:szCs w:val="32"/>
        </w:rPr>
      </w:pPr>
      <w:r>
        <w:rPr>
          <w:rFonts w:hint="eastAsia"/>
          <w:sz w:val="32"/>
          <w:szCs w:val="32"/>
        </w:rPr>
        <w:t>浙人防</w:t>
      </w:r>
      <w:r>
        <w:rPr>
          <w:rFonts w:hint="eastAsia"/>
          <w:sz w:val="32"/>
          <w:szCs w:val="32"/>
          <w:lang w:eastAsia="zh-CN"/>
        </w:rPr>
        <w:t>办</w:t>
      </w:r>
      <w:r>
        <w:rPr>
          <w:rFonts w:hint="eastAsia"/>
          <w:sz w:val="32"/>
          <w:szCs w:val="32"/>
        </w:rPr>
        <w:t>〔20</w:t>
      </w:r>
      <w:r>
        <w:rPr>
          <w:rFonts w:hint="eastAsia"/>
          <w:sz w:val="32"/>
          <w:szCs w:val="32"/>
          <w:lang w:val="en-US" w:eastAsia="zh-CN"/>
        </w:rPr>
        <w:t>20</w:t>
      </w:r>
      <w:r>
        <w:rPr>
          <w:rFonts w:hint="eastAsia"/>
          <w:sz w:val="32"/>
          <w:szCs w:val="32"/>
        </w:rPr>
        <w:t>〕</w:t>
      </w:r>
      <w:r>
        <w:rPr>
          <w:rFonts w:hint="eastAsia"/>
          <w:sz w:val="32"/>
          <w:szCs w:val="32"/>
          <w:lang w:val="en-US" w:eastAsia="zh-CN"/>
        </w:rPr>
        <w:t>27</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浙江省人民防空办公室关于印发</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《浙江省人民防空行业市场责任主体信用管理办法（试行）》的通知</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textAlignment w:val="auto"/>
        <w:rPr>
          <w:rFonts w:hint="eastAsia" w:ascii="仿宋_GB2312" w:hAnsi="仿宋_GB2312" w:eastAsia="仿宋_GB2312"/>
          <w:sz w:val="31"/>
        </w:rPr>
      </w:pP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right="0" w:rightChars="0"/>
        <w:jc w:val="both"/>
        <w:textAlignment w:val="auto"/>
        <w:outlineLvl w:val="9"/>
        <w:rPr>
          <w:rFonts w:ascii="仿宋_GB2312" w:hAnsi="仿宋_GB2312" w:eastAsia="仿宋_GB2312"/>
          <w:sz w:val="31"/>
        </w:rPr>
      </w:pPr>
      <w:r>
        <w:rPr>
          <w:rFonts w:hint="eastAsia" w:ascii="仿宋_GB2312" w:hAnsi="仿宋_GB2312" w:eastAsia="仿宋_GB2312"/>
          <w:sz w:val="31"/>
        </w:rPr>
        <w:t>各市、县（市、区）人民防空办公室</w:t>
      </w:r>
      <w:r>
        <w:rPr>
          <w:rFonts w:ascii="仿宋_GB2312" w:hAnsi="仿宋_GB2312" w:eastAsia="仿宋_GB2312"/>
          <w:sz w:val="31"/>
        </w:rPr>
        <w:t>：</w:t>
      </w: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right="0" w:rightChars="0" w:firstLine="620" w:firstLineChars="200"/>
        <w:jc w:val="both"/>
        <w:textAlignment w:val="auto"/>
        <w:outlineLvl w:val="9"/>
        <w:rPr>
          <w:rFonts w:hint="eastAsia" w:ascii="仿宋_GB2312" w:hAnsi="仿宋_GB2312" w:eastAsia="仿宋_GB2312"/>
          <w:sz w:val="31"/>
        </w:rPr>
      </w:pPr>
      <w:r>
        <w:rPr>
          <w:rFonts w:hint="eastAsia" w:ascii="仿宋_GB2312" w:hAnsi="仿宋_GB2312" w:eastAsia="仿宋_GB2312"/>
          <w:sz w:val="31"/>
        </w:rPr>
        <w:t>现将《浙江省人民防空行业市场责任主体</w:t>
      </w:r>
      <w:r>
        <w:rPr>
          <w:rFonts w:ascii="仿宋_GB2312" w:hAnsi="仿宋_GB2312" w:eastAsia="仿宋_GB2312"/>
          <w:sz w:val="31"/>
        </w:rPr>
        <w:t>信用管理办法（试行）</w:t>
      </w:r>
      <w:r>
        <w:rPr>
          <w:rFonts w:hint="eastAsia" w:ascii="仿宋_GB2312" w:hAnsi="仿宋_GB2312" w:eastAsia="仿宋_GB2312"/>
          <w:sz w:val="31"/>
        </w:rPr>
        <w:t>》印发给你们，请认真抓好贯彻执行。</w:t>
      </w:r>
    </w:p>
    <w:p>
      <w:pPr>
        <w:keepNext w:val="0"/>
        <w:keepLines w:val="0"/>
        <w:pageBreakBefore w:val="0"/>
        <w:widowControl w:val="0"/>
        <w:kinsoku/>
        <w:wordWrap/>
        <w:overflowPunct/>
        <w:topLinePunct w:val="0"/>
        <w:autoSpaceDE/>
        <w:bidi w:val="0"/>
        <w:adjustRightInd w:val="0"/>
        <w:snapToGrid w:val="0"/>
        <w:spacing w:line="360" w:lineRule="auto"/>
        <w:ind w:left="0" w:leftChars="0" w:right="0" w:rightChars="0" w:firstLine="640" w:firstLineChars="200"/>
        <w:textAlignment w:val="auto"/>
        <w:rPr>
          <w:rFonts w:hAnsi="仿宋_GB2312"/>
          <w:sz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bookmarkStart w:id="2" w:name="_GoBack"/>
      <w:bookmarkEnd w:id="2"/>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浙江省人民防空办公室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eastAsia" w:hAnsi="仿宋_GB2312" w:cs="仿宋_GB2312"/>
          <w:sz w:val="32"/>
          <w:szCs w:val="32"/>
          <w:lang w:val="en-US" w:eastAsia="zh-CN"/>
        </w:rPr>
        <w:t>28</w:t>
      </w:r>
      <w:r>
        <w:rPr>
          <w:rFonts w:hint="eastAsia" w:ascii="仿宋_GB2312" w:hAnsi="仿宋_GB2312" w:eastAsia="仿宋_GB2312" w:cs="仿宋_GB2312"/>
          <w:sz w:val="32"/>
          <w:szCs w:val="32"/>
          <w:lang w:val="en-US" w:eastAsia="zh-CN"/>
        </w:rPr>
        <w:t>日</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浙江省人民防空行业市场责任主体</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 信用管理办法（试行）</w:t>
      </w:r>
    </w:p>
    <w:p>
      <w:pPr>
        <w:ind w:firstLine="640" w:firstLineChars="200"/>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jc w:val="center"/>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为加强人民防空行业市场责任主体（以下简称人防行业市场责任主体）守法意识，营造诚信有序的市场环境，根据人民防空法律法规以及国家、省信用建设的有关规定，结合我省实际，制定本办法。</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本办法适用于</w:t>
      </w:r>
      <w:bookmarkStart w:id="0" w:name="OLE_LINK4"/>
      <w:r>
        <w:rPr>
          <w:rFonts w:hint="eastAsia" w:ascii="仿宋_GB2312" w:hAnsi="仿宋_GB2312" w:eastAsia="仿宋_GB2312" w:cs="仿宋_GB2312"/>
          <w:color w:val="000000" w:themeColor="text1"/>
          <w:sz w:val="32"/>
          <w:szCs w:val="32"/>
          <w14:textFill>
            <w14:solidFill>
              <w14:schemeClr w14:val="tx1"/>
            </w14:solidFill>
          </w14:textFill>
        </w:rPr>
        <w:t>在本省行政区域内从事人民防空工程建设、设计、施工、监理、维护管理等从业单位的信用信息的归集、披露、使用及其管理活动。</w:t>
      </w:r>
    </w:p>
    <w:bookmarkEnd w:id="0"/>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本办法所称信用管理，是指人民防空主管部门（以下简称人防主管部门）按照规定的程序、方法和标准，对人防行业市场责任主体有关信用信息的采集、查证、认定、公布和应用等工作。</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对人防行业市场责任主体信用信息的归集、披露、使用及其管理，应当遵循合法、安全、及时、准确的原则，不得侵犯国家秘密、商业秘密和个人隐私。</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负责制定本行政区域内人防行业市场责任主体信用评价标准，定期开展全省人防行业市场责任主体信用评价，统一认定全省人防行业市场责任主体“红、黑名单”，向国家人防主管部门和省公共数据服务平台推送有关信用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设区市人防主管部门负责采集、认定、公布在本行政区域内从业的人防行业市场责任主体产生的基础信息、守信信息、不良信息，并报省人防主管部门备案。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县（市、区）人防主管部门负责采集、认定、公布在本行政区域内从业的人防行业市场责任主体产生的基础信息、守信信息、不良信息，并报设区市人防主管部门备案。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在门户网站建立</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信用管理专栏，</w:t>
      </w:r>
      <w:r>
        <w:rPr>
          <w:rFonts w:hint="eastAsia" w:ascii="仿宋_GB2312" w:hAnsi="仿宋_GB2312" w:eastAsia="仿宋_GB2312" w:cs="仿宋_GB2312"/>
          <w:color w:val="000000" w:themeColor="text1"/>
          <w:sz w:val="32"/>
          <w:szCs w:val="32"/>
          <w14:textFill>
            <w14:solidFill>
              <w14:schemeClr w14:val="tx1"/>
            </w14:solidFill>
          </w14:textFill>
        </w:rPr>
        <w:t>公开</w:t>
      </w:r>
      <w:r>
        <w:rPr>
          <w:rFonts w:ascii="仿宋_GB2312" w:hAnsi="仿宋_GB2312" w:eastAsia="仿宋_GB2312" w:cs="仿宋_GB2312"/>
          <w:color w:val="000000" w:themeColor="text1"/>
          <w:sz w:val="32"/>
          <w:szCs w:val="32"/>
          <w14:textFill>
            <w14:solidFill>
              <w14:schemeClr w14:val="tx1"/>
            </w14:solidFill>
          </w14:textFill>
        </w:rPr>
        <w:t>发布全省</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信用评价结果和</w:t>
      </w:r>
      <w:r>
        <w:rPr>
          <w:rFonts w:hint="eastAsia" w:ascii="仿宋_GB2312" w:hAnsi="仿宋_GB2312" w:eastAsia="仿宋_GB2312" w:cs="仿宋_GB2312"/>
          <w:color w:val="000000" w:themeColor="text1"/>
          <w:sz w:val="32"/>
          <w:szCs w:val="32"/>
          <w14:textFill>
            <w14:solidFill>
              <w14:schemeClr w14:val="tx1"/>
            </w14:solidFill>
          </w14:textFill>
        </w:rPr>
        <w:t>“红、黑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并通过“浙江</w:t>
      </w:r>
      <w:r>
        <w:rPr>
          <w:rFonts w:hint="eastAsia" w:ascii="仿宋_GB2312" w:hAnsi="仿宋_GB2312" w:eastAsia="仿宋_GB2312" w:cs="仿宋_GB2312"/>
          <w:color w:val="000000" w:themeColor="text1"/>
          <w:sz w:val="32"/>
          <w:szCs w:val="32"/>
          <w14:textFill>
            <w14:solidFill>
              <w14:schemeClr w14:val="tx1"/>
            </w14:solidFill>
          </w14:textFill>
        </w:rPr>
        <w:t>人防</w:t>
      </w:r>
      <w:r>
        <w:rPr>
          <w:rFonts w:ascii="仿宋_GB2312" w:hAnsi="仿宋_GB2312" w:eastAsia="仿宋_GB2312" w:cs="仿宋_GB2312"/>
          <w:color w:val="000000" w:themeColor="text1"/>
          <w:sz w:val="32"/>
          <w:szCs w:val="32"/>
          <w14:textFill>
            <w14:solidFill>
              <w14:schemeClr w14:val="tx1"/>
            </w14:solidFill>
          </w14:textFill>
        </w:rPr>
        <w:t>”微信</w:t>
      </w:r>
      <w:r>
        <w:rPr>
          <w:rFonts w:hint="eastAsia" w:ascii="仿宋_GB2312" w:hAnsi="仿宋_GB2312" w:eastAsia="仿宋_GB2312" w:cs="仿宋_GB2312"/>
          <w:color w:val="000000" w:themeColor="text1"/>
          <w:sz w:val="32"/>
          <w:szCs w:val="32"/>
          <w14:textFill>
            <w14:solidFill>
              <w14:schemeClr w14:val="tx1"/>
            </w14:solidFill>
          </w14:textFill>
        </w:rPr>
        <w:t>公众号</w:t>
      </w:r>
      <w:r>
        <w:rPr>
          <w:rFonts w:ascii="仿宋_GB2312" w:hAnsi="仿宋_GB2312" w:eastAsia="仿宋_GB2312" w:cs="仿宋_GB2312"/>
          <w:color w:val="000000" w:themeColor="text1"/>
          <w:sz w:val="32"/>
          <w:szCs w:val="32"/>
          <w14:textFill>
            <w14:solidFill>
              <w14:schemeClr w14:val="tx1"/>
            </w14:solidFill>
          </w14:textFill>
        </w:rPr>
        <w:t>等媒介向社会公</w:t>
      </w:r>
      <w:r>
        <w:rPr>
          <w:rFonts w:hint="eastAsia" w:ascii="仿宋_GB2312" w:hAnsi="仿宋_GB2312" w:eastAsia="仿宋_GB2312" w:cs="仿宋_GB2312"/>
          <w:color w:val="000000" w:themeColor="text1"/>
          <w:sz w:val="32"/>
          <w:szCs w:val="32"/>
          <w14:textFill>
            <w14:solidFill>
              <w14:schemeClr w14:val="tx1"/>
            </w14:solidFill>
          </w14:textFill>
        </w:rPr>
        <w:t>示</w:t>
      </w:r>
      <w:r>
        <w:rPr>
          <w:rFonts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center"/>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信息归集</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人防行业市场责任主体信用信息由基础信息、不良信息和守信信息构成。</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14:textFill>
            <w14:solidFill>
              <w14:schemeClr w14:val="tx1"/>
            </w14:solidFill>
          </w14:textFill>
        </w:rPr>
        <w:t>基础信息是指人防行业市场责任主体在有关国家机关登记或注册的事项；行政许可信息；自然人的姓名、身份证号码、出入境证件号码等身份识别信息；向社会公开承诺信息；国家和省公共数据平台获取的其他公共信用信息；法律、法规、规章规定的应当予以归集的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第九条 </w:t>
      </w:r>
      <w:r>
        <w:rPr>
          <w:rFonts w:hint="eastAsia" w:ascii="仿宋_GB2312" w:hAnsi="仿宋_GB2312" w:eastAsia="仿宋_GB2312"/>
          <w:color w:val="000000" w:themeColor="text1"/>
          <w:sz w:val="32"/>
          <w14:textFill>
            <w14:solidFill>
              <w14:schemeClr w14:val="tx1"/>
            </w14:solidFill>
          </w14:textFill>
        </w:rPr>
        <w:t>守信信息是指人防行业市场责任主体模范遵守法律、法规、规章，获得设区市以上人民政府或省级以上人防主管部门表彰奖励等对其信用构成正面影响的信息。</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14:textFill>
            <w14:solidFill>
              <w14:schemeClr w14:val="tx1"/>
            </w14:solidFill>
          </w14:textFill>
        </w:rPr>
        <w:t>不良信息是指人防行业市场责任主体在从业过程中，违反人民防空行业相关法律、法规、规章、规范性文件和强制性标准，对其信用状况构成负面影响的信用信息。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第十一条 </w:t>
      </w:r>
      <w:r>
        <w:rPr>
          <w:rFonts w:hint="eastAsia" w:ascii="仿宋_GB2312" w:hAnsi="仿宋_GB2312" w:eastAsia="仿宋_GB2312"/>
          <w:color w:val="000000" w:themeColor="text1"/>
          <w:sz w:val="32"/>
          <w14:textFill>
            <w14:solidFill>
              <w14:schemeClr w14:val="tx1"/>
            </w14:solidFill>
          </w14:textFill>
        </w:rPr>
        <w:t>信息归集应当按照“谁采集、谁负责”的原则建档留痕，确保信息及时、准确、完整，可查可核可溯。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信用评价及应用</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第十二条 </w:t>
      </w:r>
      <w:r>
        <w:rPr>
          <w:rFonts w:hint="eastAsia" w:eastAsia="仿宋_GB2312"/>
          <w:color w:val="000000" w:themeColor="text1"/>
          <w:sz w:val="32"/>
          <w:szCs w:val="32"/>
          <w14:textFill>
            <w14:solidFill>
              <w14:schemeClr w14:val="tx1"/>
            </w14:solidFill>
          </w14:textFill>
        </w:rPr>
        <w:t>人防行业市场责任主体</w:t>
      </w:r>
      <w:r>
        <w:rPr>
          <w:rFonts w:eastAsia="仿宋_GB2312"/>
          <w:color w:val="000000" w:themeColor="text1"/>
          <w:sz w:val="32"/>
          <w:szCs w:val="32"/>
          <w14:textFill>
            <w14:solidFill>
              <w14:schemeClr w14:val="tx1"/>
            </w14:solidFill>
          </w14:textFill>
        </w:rPr>
        <w:t>信用评价</w:t>
      </w:r>
      <w:r>
        <w:rPr>
          <w:rFonts w:hint="eastAsia" w:eastAsia="仿宋_GB2312"/>
          <w:color w:val="000000" w:themeColor="text1"/>
          <w:sz w:val="32"/>
          <w:szCs w:val="32"/>
          <w14:textFill>
            <w14:solidFill>
              <w14:schemeClr w14:val="tx1"/>
            </w14:solidFill>
          </w14:textFill>
        </w:rPr>
        <w:t>实行动态更新和定期评价相结合</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bookmarkStart w:id="1" w:name="OLE_LINK2"/>
      <w:r>
        <w:rPr>
          <w:rFonts w:hint="eastAsia" w:ascii="黑体" w:hAnsi="黑体" w:eastAsia="黑体" w:cs="黑体"/>
          <w:color w:val="000000" w:themeColor="text1"/>
          <w:sz w:val="32"/>
          <w:szCs w:val="32"/>
          <w14:textFill>
            <w14:solidFill>
              <w14:schemeClr w14:val="tx1"/>
            </w14:solidFill>
          </w14:textFill>
        </w:rPr>
        <w:t>第十三条</w:t>
      </w:r>
      <w:bookmarkEnd w:id="1"/>
      <w:r>
        <w:rPr>
          <w:rFonts w:hint="eastAsia" w:ascii="黑体" w:hAnsi="黑体" w:eastAsia="黑体" w:cs="黑体"/>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各级人防主管部门应当及时公示人防行业市场责任主体产生的信用信息。</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对有不良信息的人防行业市场责任主体，人防主管部门应当采取以下措施强化监督管理：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（一）在行政许可、市场准入、执法检查、质量监督、表彰评优等工作中视情实行差别化管理；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（二）将已公布的不良信息记入该责任主体信用档案</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olor w:val="000000" w:themeColor="text1"/>
          <w:sz w:val="32"/>
          <w14:textFill>
            <w14:solidFill>
              <w14:schemeClr w14:val="tx1"/>
            </w14:solidFill>
          </w14:textFill>
        </w:rPr>
        <w:t>第十</w:t>
      </w:r>
      <w:r>
        <w:rPr>
          <w:rFonts w:hint="eastAsia" w:ascii="黑体" w:hAnsi="黑体" w:eastAsia="黑体"/>
          <w:color w:val="000000" w:themeColor="text1"/>
          <w:sz w:val="32"/>
          <w14:textFill>
            <w14:solidFill>
              <w14:schemeClr w14:val="tx1"/>
            </w14:solidFill>
          </w14:textFill>
        </w:rPr>
        <w:t>四</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不良信息的公布期限为5年，自认定之日起计算。</w:t>
      </w:r>
      <w:r>
        <w:rPr>
          <w:rFonts w:hint="eastAsia" w:eastAsia="仿宋_GB2312"/>
          <w:color w:val="000000" w:themeColor="text1"/>
          <w:sz w:val="32"/>
          <w:szCs w:val="32"/>
          <w14:textFill>
            <w14:solidFill>
              <w14:schemeClr w14:val="tx1"/>
            </w14:solidFill>
          </w14:textFill>
        </w:rPr>
        <w:t>人防行业市场责任主体</w:t>
      </w:r>
      <w:r>
        <w:rPr>
          <w:rFonts w:hint="eastAsia" w:ascii="仿宋_GB2312" w:hAnsi="仿宋_GB2312" w:eastAsia="仿宋_GB2312" w:cs="仿宋_GB2312"/>
          <w:color w:val="000000" w:themeColor="text1"/>
          <w:sz w:val="32"/>
          <w:szCs w:val="32"/>
          <w14:textFill>
            <w14:solidFill>
              <w14:schemeClr w14:val="tx1"/>
            </w14:solidFill>
          </w14:textFill>
        </w:rPr>
        <w:t>依照本办法被列入黑名单，其不良信息公布期限届满时尚未被移出黑名单的，公布期限延期至被移出黑名单之日。</w:t>
      </w:r>
      <w:r>
        <w:rPr>
          <w:rFonts w:hint="eastAsia" w:eastAsia="仿宋_GB2312"/>
          <w:color w:val="000000" w:themeColor="text1"/>
          <w:sz w:val="32"/>
          <w:szCs w:val="32"/>
          <w14:textFill>
            <w14:solidFill>
              <w14:schemeClr w14:val="tx1"/>
            </w14:solidFill>
          </w14:textFill>
        </w:rPr>
        <w:t>人防行业市场责任主体</w:t>
      </w:r>
      <w:r>
        <w:rPr>
          <w:rFonts w:hint="eastAsia" w:ascii="仿宋_GB2312" w:hAnsi="仿宋_GB2312" w:eastAsia="仿宋_GB2312" w:cs="仿宋_GB2312"/>
          <w:color w:val="000000" w:themeColor="text1"/>
          <w:sz w:val="32"/>
          <w:szCs w:val="32"/>
          <w14:textFill>
            <w14:solidFill>
              <w14:schemeClr w14:val="tx1"/>
            </w14:solidFill>
          </w14:textFill>
        </w:rPr>
        <w:t>修复失信行为并且在公布期限内未再次产生不良信息或“黑名单”情形的，由公布部门将其移出。法律、法规和国家有关规定对保存和披露期限另有规定的，从其规定。</w:t>
      </w: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第十五条 </w:t>
      </w:r>
      <w:r>
        <w:rPr>
          <w:rFonts w:hint="eastAsia" w:ascii="Times New Roman" w:hAnsi="Times New Roman" w:eastAsia="仿宋_GB2312"/>
          <w:color w:val="000000" w:themeColor="text1"/>
          <w:sz w:val="32"/>
          <w:szCs w:val="32"/>
          <w14:textFill>
            <w14:solidFill>
              <w14:schemeClr w14:val="tx1"/>
            </w14:solidFill>
          </w14:textFill>
        </w:rPr>
        <w:t>每年12月下</w:t>
      </w:r>
      <w:r>
        <w:rPr>
          <w:rFonts w:hint="eastAsia" w:eastAsia="仿宋_GB2312"/>
          <w:color w:val="000000" w:themeColor="text1"/>
          <w:sz w:val="32"/>
          <w:szCs w:val="32"/>
          <w14:textFill>
            <w14:solidFill>
              <w14:schemeClr w14:val="tx1"/>
            </w14:solidFill>
          </w14:textFill>
        </w:rPr>
        <w:t>旬，省人防主管部门依据评价标准</w:t>
      </w:r>
      <w:r>
        <w:rPr>
          <w:rFonts w:eastAsia="仿宋_GB2312"/>
          <w:color w:val="000000" w:themeColor="text1"/>
          <w:sz w:val="32"/>
          <w:szCs w:val="32"/>
          <w14:textFill>
            <w14:solidFill>
              <w14:schemeClr w14:val="tx1"/>
            </w14:solidFill>
          </w14:textFill>
        </w:rPr>
        <w:t>对全省人防</w:t>
      </w:r>
      <w:r>
        <w:rPr>
          <w:rFonts w:hint="eastAsia" w:eastAsia="仿宋_GB2312"/>
          <w:color w:val="000000" w:themeColor="text1"/>
          <w:sz w:val="32"/>
          <w:szCs w:val="32"/>
          <w14:textFill>
            <w14:solidFill>
              <w14:schemeClr w14:val="tx1"/>
            </w14:solidFill>
          </w14:textFill>
        </w:rPr>
        <w:t>行业市场责任主体组织</w:t>
      </w:r>
      <w:r>
        <w:rPr>
          <w:rFonts w:eastAsia="仿宋_GB2312"/>
          <w:color w:val="000000" w:themeColor="text1"/>
          <w:sz w:val="32"/>
          <w:szCs w:val="32"/>
          <w14:textFill>
            <w14:solidFill>
              <w14:schemeClr w14:val="tx1"/>
            </w14:solidFill>
          </w14:textFill>
        </w:rPr>
        <w:t>开展信用评价，</w:t>
      </w:r>
      <w:r>
        <w:rPr>
          <w:rFonts w:hint="eastAsia" w:eastAsia="仿宋_GB2312"/>
          <w:color w:val="000000" w:themeColor="text1"/>
          <w:sz w:val="32"/>
          <w:szCs w:val="32"/>
          <w14:textFill>
            <w14:solidFill>
              <w14:schemeClr w14:val="tx1"/>
            </w14:solidFill>
          </w14:textFill>
        </w:rPr>
        <w:t>次</w:t>
      </w:r>
      <w:r>
        <w:rPr>
          <w:rFonts w:ascii="Times New Roman" w:hAnsi="Times New Roman" w:eastAsia="仿宋_GB2312"/>
          <w:color w:val="000000" w:themeColor="text1"/>
          <w:sz w:val="32"/>
          <w:szCs w:val="32"/>
          <w14:textFill>
            <w14:solidFill>
              <w14:schemeClr w14:val="tx1"/>
            </w14:solidFill>
          </w14:textFill>
        </w:rPr>
        <w:t>年1月</w:t>
      </w:r>
      <w:r>
        <w:rPr>
          <w:rFonts w:hint="eastAsia" w:ascii="Times New Roman" w:hAnsi="Times New Roman" w:eastAsia="仿宋_GB2312"/>
          <w:color w:val="000000" w:themeColor="text1"/>
          <w:sz w:val="32"/>
          <w:szCs w:val="32"/>
          <w14:textFill>
            <w14:solidFill>
              <w14:schemeClr w14:val="tx1"/>
            </w14:solidFill>
          </w14:textFill>
        </w:rPr>
        <w:t>底</w:t>
      </w:r>
      <w:r>
        <w:rPr>
          <w:rFonts w:ascii="Times New Roman" w:hAnsi="Times New Roman" w:eastAsia="仿宋_GB2312"/>
          <w:color w:val="000000" w:themeColor="text1"/>
          <w:sz w:val="32"/>
          <w:szCs w:val="32"/>
          <w14:textFill>
            <w14:solidFill>
              <w14:schemeClr w14:val="tx1"/>
            </w14:solidFill>
          </w14:textFill>
        </w:rPr>
        <w:t>前</w:t>
      </w:r>
      <w:r>
        <w:rPr>
          <w:rFonts w:hint="eastAsia" w:ascii="Times New Roman" w:hAnsi="Times New Roman" w:eastAsia="仿宋_GB2312"/>
          <w:color w:val="000000" w:themeColor="text1"/>
          <w:sz w:val="32"/>
          <w:szCs w:val="32"/>
          <w14:textFill>
            <w14:solidFill>
              <w14:schemeClr w14:val="tx1"/>
            </w14:solidFill>
          </w14:textFill>
        </w:rPr>
        <w:t>公布评价结果。</w:t>
      </w:r>
      <w:r>
        <w:rPr>
          <w:rFonts w:ascii="Times New Roman" w:hAnsi="Times New Roman" w:eastAsia="仿宋_GB2312"/>
          <w:color w:val="000000" w:themeColor="text1"/>
          <w:sz w:val="32"/>
          <w:szCs w:val="32"/>
          <w14:textFill>
            <w14:solidFill>
              <w14:schemeClr w14:val="tx1"/>
            </w14:solidFill>
          </w14:textFill>
        </w:rPr>
        <w:t>信用评价以年度为周期，从每年的1月1日起至12月31日止。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第十六条 </w:t>
      </w:r>
      <w:r>
        <w:rPr>
          <w:rFonts w:hint="eastAsia" w:ascii="仿宋_GB2312" w:hAnsi="仿宋_GB2312" w:eastAsia="仿宋_GB2312"/>
          <w:color w:val="000000" w:themeColor="text1"/>
          <w:sz w:val="32"/>
          <w14:textFill>
            <w14:solidFill>
              <w14:schemeClr w14:val="tx1"/>
            </w14:solidFill>
          </w14:textFill>
        </w:rPr>
        <w:t>人防行业市场责任主体信用评价，</w:t>
      </w:r>
      <w:r>
        <w:rPr>
          <w:rFonts w:hint="eastAsia" w:ascii="Times New Roman" w:hAnsi="Times New Roman" w:eastAsia="仿宋_GB2312"/>
          <w:color w:val="000000" w:themeColor="text1"/>
          <w:sz w:val="32"/>
          <w:szCs w:val="32"/>
          <w14:textFill>
            <w14:solidFill>
              <w14:schemeClr w14:val="tx1"/>
            </w14:solidFill>
          </w14:textFill>
        </w:rPr>
        <w:t>分为五个等级，850分以上至1000分为</w:t>
      </w:r>
      <w:r>
        <w:rPr>
          <w:rFonts w:ascii="Times New Roman" w:hAnsi="Times New Roman" w:eastAsia="仿宋_GB2312"/>
          <w:color w:val="000000" w:themeColor="text1"/>
          <w:sz w:val="32"/>
          <w:szCs w:val="32"/>
          <w14:textFill>
            <w14:solidFill>
              <w14:schemeClr w14:val="tx1"/>
            </w14:solidFill>
          </w14:textFill>
        </w:rPr>
        <w:t>A</w:t>
      </w:r>
      <w:r>
        <w:rPr>
          <w:rFonts w:hint="eastAsia" w:ascii="Times New Roman" w:hAnsi="Times New Roman" w:eastAsia="仿宋_GB2312"/>
          <w:color w:val="000000" w:themeColor="text1"/>
          <w:sz w:val="32"/>
          <w:szCs w:val="32"/>
          <w14:textFill>
            <w14:solidFill>
              <w14:schemeClr w14:val="tx1"/>
            </w14:solidFill>
          </w14:textFill>
        </w:rPr>
        <w:t>级（优秀），</w:t>
      </w:r>
      <w:r>
        <w:rPr>
          <w:rFonts w:ascii="Times New Roman" w:hAnsi="Times New Roman" w:eastAsia="仿宋_GB2312"/>
          <w:color w:val="000000" w:themeColor="text1"/>
          <w:sz w:val="32"/>
          <w:szCs w:val="32"/>
          <w14:textFill>
            <w14:solidFill>
              <w14:schemeClr w14:val="tx1"/>
            </w14:solidFill>
          </w14:textFill>
        </w:rPr>
        <w:t>800</w:t>
      </w:r>
      <w:r>
        <w:rPr>
          <w:rFonts w:hint="eastAsia" w:ascii="Times New Roman" w:hAnsi="Times New Roman" w:eastAsia="仿宋_GB2312"/>
          <w:color w:val="000000" w:themeColor="text1"/>
          <w:sz w:val="32"/>
          <w:szCs w:val="32"/>
          <w14:textFill>
            <w14:solidFill>
              <w14:schemeClr w14:val="tx1"/>
            </w14:solidFill>
          </w14:textFill>
        </w:rPr>
        <w:t>分以上～850分（含）为</w:t>
      </w:r>
      <w:r>
        <w:rPr>
          <w:rFonts w:ascii="Times New Roman" w:hAnsi="Times New Roman" w:eastAsia="仿宋_GB2312"/>
          <w:color w:val="000000" w:themeColor="text1"/>
          <w:sz w:val="32"/>
          <w:szCs w:val="32"/>
          <w14:textFill>
            <w14:solidFill>
              <w14:schemeClr w14:val="tx1"/>
            </w14:solidFill>
          </w14:textFill>
        </w:rPr>
        <w:t>B</w:t>
      </w:r>
      <w:r>
        <w:rPr>
          <w:rFonts w:hint="eastAsia" w:ascii="Times New Roman" w:hAnsi="Times New Roman" w:eastAsia="仿宋_GB2312"/>
          <w:color w:val="000000" w:themeColor="text1"/>
          <w:sz w:val="32"/>
          <w:szCs w:val="32"/>
          <w14:textFill>
            <w14:solidFill>
              <w14:schemeClr w14:val="tx1"/>
            </w14:solidFill>
          </w14:textFill>
        </w:rPr>
        <w:t>级（良好），750分以上～800分（含）为</w:t>
      </w:r>
      <w:r>
        <w:rPr>
          <w:rFonts w:ascii="Times New Roman" w:hAnsi="Times New Roman" w:eastAsia="仿宋_GB2312"/>
          <w:color w:val="000000" w:themeColor="text1"/>
          <w:sz w:val="32"/>
          <w:szCs w:val="32"/>
          <w14:textFill>
            <w14:solidFill>
              <w14:schemeClr w14:val="tx1"/>
            </w14:solidFill>
          </w14:textFill>
        </w:rPr>
        <w:t>C</w:t>
      </w:r>
      <w:r>
        <w:rPr>
          <w:rFonts w:hint="eastAsia" w:ascii="Times New Roman" w:hAnsi="Times New Roman" w:eastAsia="仿宋_GB2312"/>
          <w:color w:val="000000" w:themeColor="text1"/>
          <w:sz w:val="32"/>
          <w:szCs w:val="32"/>
          <w14:textFill>
            <w14:solidFill>
              <w14:schemeClr w14:val="tx1"/>
            </w14:solidFill>
          </w14:textFill>
        </w:rPr>
        <w:t>级（中等），700分以上～</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50分（含）为</w:t>
      </w:r>
      <w:r>
        <w:rPr>
          <w:rFonts w:ascii="Times New Roman" w:hAnsi="Times New Roman" w:eastAsia="仿宋_GB2312"/>
          <w:color w:val="000000" w:themeColor="text1"/>
          <w:sz w:val="32"/>
          <w:szCs w:val="32"/>
          <w14:textFill>
            <w14:solidFill>
              <w14:schemeClr w14:val="tx1"/>
            </w14:solidFill>
          </w14:textFill>
        </w:rPr>
        <w:t>D</w:t>
      </w:r>
      <w:r>
        <w:rPr>
          <w:rFonts w:hint="eastAsia" w:ascii="Times New Roman" w:hAnsi="Times New Roman" w:eastAsia="仿宋_GB2312"/>
          <w:color w:val="000000" w:themeColor="text1"/>
          <w:sz w:val="32"/>
          <w:szCs w:val="32"/>
          <w14:textFill>
            <w14:solidFill>
              <w14:schemeClr w14:val="tx1"/>
            </w14:solidFill>
          </w14:textFill>
        </w:rPr>
        <w:t>级（较差），0～700分（含）为</w:t>
      </w:r>
      <w:r>
        <w:rPr>
          <w:rFonts w:ascii="Times New Roman" w:hAnsi="Times New Roman" w:eastAsia="仿宋_GB2312"/>
          <w:color w:val="000000" w:themeColor="text1"/>
          <w:sz w:val="32"/>
          <w:szCs w:val="32"/>
          <w14:textFill>
            <w14:solidFill>
              <w14:schemeClr w14:val="tx1"/>
            </w14:solidFill>
          </w14:textFill>
        </w:rPr>
        <w:t>E</w:t>
      </w:r>
      <w:r>
        <w:rPr>
          <w:rFonts w:hint="eastAsia" w:ascii="Times New Roman" w:hAnsi="Times New Roman" w:eastAsia="仿宋_GB2312"/>
          <w:color w:val="000000" w:themeColor="text1"/>
          <w:sz w:val="32"/>
          <w:szCs w:val="32"/>
          <w14:textFill>
            <w14:solidFill>
              <w14:schemeClr w14:val="tx1"/>
            </w14:solidFill>
          </w14:textFill>
        </w:rPr>
        <w:t>级（差）。</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第十七条 </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A</w:t>
      </w:r>
      <w:r>
        <w:rPr>
          <w:rFonts w:hint="eastAsia" w:ascii="仿宋_GB2312" w:hAnsi="仿宋_GB2312" w:eastAsia="仿宋_GB2312"/>
          <w:color w:val="000000" w:themeColor="text1"/>
          <w:sz w:val="32"/>
          <w14:textFill>
            <w14:solidFill>
              <w14:schemeClr w14:val="tx1"/>
            </w14:solidFill>
          </w14:textFill>
        </w:rPr>
        <w:t>级、B级的人防行业市场责任主体，各级人防主管部门</w:t>
      </w:r>
      <w:r>
        <w:rPr>
          <w:rFonts w:hint="eastAsia" w:ascii="仿宋_GB2312" w:hAnsi="仿宋_GB2312" w:eastAsia="仿宋_GB2312" w:cs="仿宋_GB2312"/>
          <w:color w:val="000000" w:themeColor="text1"/>
          <w:sz w:val="32"/>
          <w:szCs w:val="32"/>
          <w14:textFill>
            <w14:solidFill>
              <w14:schemeClr w14:val="tx1"/>
            </w14:solidFill>
          </w14:textFill>
        </w:rPr>
        <w:t>在办理适用信用承诺制的行政许可事项时，部分申报材料不齐备但书面承诺在规定期限内提供的，可以容缺受理，加快办理。在</w:t>
      </w:r>
      <w:r>
        <w:rPr>
          <w:rFonts w:hint="eastAsia" w:ascii="仿宋_GB2312" w:hAnsi="仿宋_GB2312" w:eastAsia="仿宋_GB2312"/>
          <w:color w:val="000000" w:themeColor="text1"/>
          <w:sz w:val="32"/>
          <w14:textFill>
            <w14:solidFill>
              <w14:schemeClr w14:val="tx1"/>
            </w14:solidFill>
          </w14:textFill>
        </w:rPr>
        <w:t>办理从业许可证延续、变更，相关资质延续、变更、升级等行政许可事项中提供优先办理、容缺办理、承诺办理等便捷服务；给予国家或地方规定的其他激励性措施。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第十八条 </w:t>
      </w:r>
      <w:r>
        <w:rPr>
          <w:rFonts w:hint="eastAsia" w:ascii="仿宋_GB2312" w:hAnsi="仿宋_GB2312" w:eastAsia="仿宋_GB2312"/>
          <w:color w:val="000000" w:themeColor="text1"/>
          <w:sz w:val="32"/>
          <w14:textFill>
            <w14:solidFill>
              <w14:schemeClr w14:val="tx1"/>
            </w14:solidFill>
          </w14:textFill>
        </w:rPr>
        <w:t>对信用等级为C级的人防行业市场责任主体，各级人防主管部门应当保持日常监督检查力度，对其整改情况可以进行跟踪检查，对其进行信用提醒和诚信约谈。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第十九条 </w:t>
      </w:r>
      <w:r>
        <w:rPr>
          <w:rFonts w:hint="eastAsia" w:ascii="仿宋_GB2312" w:hAnsi="仿宋_GB2312" w:eastAsia="仿宋_GB2312"/>
          <w:color w:val="000000" w:themeColor="text1"/>
          <w:sz w:val="32"/>
          <w14:textFill>
            <w14:solidFill>
              <w14:schemeClr w14:val="tx1"/>
            </w14:solidFill>
          </w14:textFill>
        </w:rPr>
        <w:t>对信用等级为D级的人防行业市场责任主体，各级人防主管部门应当将其列为重点监督检查对象，加大监督检查力度。定期或不定期进行责任约谈或者突击检查。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第二十条 </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E</w:t>
      </w:r>
      <w:r>
        <w:rPr>
          <w:rFonts w:hint="eastAsia" w:ascii="仿宋_GB2312" w:hAnsi="仿宋_GB2312" w:eastAsia="仿宋_GB2312"/>
          <w:color w:val="000000" w:themeColor="text1"/>
          <w:sz w:val="32"/>
          <w14:textFill>
            <w14:solidFill>
              <w14:schemeClr w14:val="tx1"/>
            </w14:solidFill>
          </w14:textFill>
        </w:rPr>
        <w:t>级的人防行业市场责任主体，各级人防主管部门应当采取以下惩戒性措施：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（一）加大对其日常从业行为的检查频次和抽检比例；</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（二）限制参加人防主管部门组织的各类表彰奖励活动；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（三）限制参与人防主管部门的政府采购、工程招投标、财政资金补贴、政策扶持等项目活动；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（四）列为资质管理重点核查对象，对其资质申请、升级和增项依法予以限制;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（五）实施3个月人防行业市场禁入措施；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（六）法律、法规、规章以及规范性文件规定的其他惩戒措施。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一</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人防行业市场责任主体</w:t>
      </w:r>
      <w:r>
        <w:rPr>
          <w:rFonts w:ascii="仿宋_GB2312" w:hAnsi="仿宋_GB2312" w:eastAsia="仿宋_GB2312"/>
          <w:color w:val="000000" w:themeColor="text1"/>
          <w:sz w:val="32"/>
          <w14:textFill>
            <w14:solidFill>
              <w14:schemeClr w14:val="tx1"/>
            </w14:solidFill>
          </w14:textFill>
        </w:rPr>
        <w:t>对信用</w:t>
      </w:r>
      <w:r>
        <w:rPr>
          <w:rFonts w:hint="eastAsia" w:ascii="仿宋_GB2312" w:hAnsi="仿宋_GB2312" w:eastAsia="仿宋_GB2312"/>
          <w:color w:val="000000" w:themeColor="text1"/>
          <w:sz w:val="32"/>
          <w14:textFill>
            <w14:solidFill>
              <w14:schemeClr w14:val="tx1"/>
            </w14:solidFill>
          </w14:textFill>
        </w:rPr>
        <w:t>认定或</w:t>
      </w:r>
      <w:r>
        <w:rPr>
          <w:rFonts w:ascii="仿宋_GB2312" w:hAnsi="仿宋_GB2312" w:eastAsia="仿宋_GB2312"/>
          <w:color w:val="000000" w:themeColor="text1"/>
          <w:sz w:val="32"/>
          <w14:textFill>
            <w14:solidFill>
              <w14:schemeClr w14:val="tx1"/>
            </w14:solidFill>
          </w14:textFill>
        </w:rPr>
        <w:t>评价结果有异议的，自知道</w:t>
      </w:r>
      <w:r>
        <w:rPr>
          <w:rFonts w:hint="eastAsia" w:ascii="仿宋_GB2312" w:hAnsi="仿宋_GB2312" w:eastAsia="仿宋_GB2312"/>
          <w:color w:val="000000" w:themeColor="text1"/>
          <w:sz w:val="32"/>
          <w14:textFill>
            <w14:solidFill>
              <w14:schemeClr w14:val="tx1"/>
            </w14:solidFill>
          </w14:textFill>
        </w:rPr>
        <w:t>或者</w:t>
      </w:r>
      <w:r>
        <w:rPr>
          <w:rFonts w:ascii="仿宋_GB2312" w:hAnsi="仿宋_GB2312" w:eastAsia="仿宋_GB2312"/>
          <w:color w:val="000000" w:themeColor="text1"/>
          <w:sz w:val="32"/>
          <w14:textFill>
            <w14:solidFill>
              <w14:schemeClr w14:val="tx1"/>
            </w14:solidFill>
          </w14:textFill>
        </w:rPr>
        <w:t>应当知道之日起</w:t>
      </w:r>
      <w:r>
        <w:rPr>
          <w:rFonts w:hint="eastAsia" w:ascii="仿宋_GB2312" w:hAnsi="仿宋_GB2312" w:eastAsia="仿宋_GB2312"/>
          <w:color w:val="000000" w:themeColor="text1"/>
          <w:sz w:val="32"/>
          <w14:textFill>
            <w14:solidFill>
              <w14:schemeClr w14:val="tx1"/>
            </w14:solidFill>
          </w14:textFill>
        </w:rPr>
        <w:t>3</w:t>
      </w:r>
      <w:r>
        <w:rPr>
          <w:rFonts w:ascii="仿宋_GB2312" w:hAnsi="仿宋_GB2312" w:eastAsia="仿宋_GB2312"/>
          <w:color w:val="000000" w:themeColor="text1"/>
          <w:sz w:val="32"/>
          <w14:textFill>
            <w14:solidFill>
              <w14:schemeClr w14:val="tx1"/>
            </w14:solidFill>
          </w14:textFill>
        </w:rPr>
        <w:t>个工作日内以书面形式向</w:t>
      </w:r>
      <w:r>
        <w:rPr>
          <w:rFonts w:hint="eastAsia" w:ascii="仿宋_GB2312" w:hAnsi="仿宋_GB2312" w:eastAsia="仿宋_GB2312"/>
          <w:color w:val="000000" w:themeColor="text1"/>
          <w:sz w:val="32"/>
          <w14:textFill>
            <w14:solidFill>
              <w14:schemeClr w14:val="tx1"/>
            </w14:solidFill>
          </w14:textFill>
        </w:rPr>
        <w:t>负责认定或评价的人防主管部门</w:t>
      </w:r>
      <w:r>
        <w:rPr>
          <w:rFonts w:ascii="仿宋_GB2312" w:hAnsi="仿宋_GB2312" w:eastAsia="仿宋_GB2312"/>
          <w:color w:val="000000" w:themeColor="text1"/>
          <w:sz w:val="32"/>
          <w14:textFill>
            <w14:solidFill>
              <w14:schemeClr w14:val="tx1"/>
            </w14:solidFill>
          </w14:textFill>
        </w:rPr>
        <w:t>提出复核申请，并提供相关证据和材料</w:t>
      </w:r>
      <w:r>
        <w:rPr>
          <w:rFonts w:hint="eastAsia" w:ascii="仿宋_GB2312" w:hAnsi="仿宋_GB2312" w:eastAsia="仿宋_GB2312"/>
          <w:color w:val="000000" w:themeColor="text1"/>
          <w:sz w:val="32"/>
          <w14:textFill>
            <w14:solidFill>
              <w14:schemeClr w14:val="tx1"/>
            </w14:solidFill>
          </w14:textFill>
        </w:rPr>
        <w:t>。规定期限内未提出申辩的，视为自动放弃申辩权。</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第二十二条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信用评价结果共享给信用管理主管部门及相关职能部门开展联合惩戒，推动</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信用评价结果在</w:t>
      </w:r>
      <w:r>
        <w:rPr>
          <w:rFonts w:hint="eastAsia" w:ascii="仿宋_GB2312" w:hAnsi="仿宋_GB2312" w:eastAsia="仿宋_GB2312" w:cs="仿宋_GB2312"/>
          <w:color w:val="000000" w:themeColor="text1"/>
          <w:sz w:val="32"/>
          <w:szCs w:val="32"/>
          <w14:textFill>
            <w14:solidFill>
              <w14:schemeClr w14:val="tx1"/>
            </w14:solidFill>
          </w14:textFill>
        </w:rPr>
        <w:t>日常监管、行政许可、资质等级评定、政府采购、政府投资项目招标投标、资金扶持、公共资源交易、表彰奖励等工作中</w:t>
      </w:r>
      <w:r>
        <w:rPr>
          <w:rFonts w:ascii="仿宋_GB2312" w:hAnsi="仿宋_GB2312" w:eastAsia="仿宋_GB2312" w:cs="仿宋_GB2312"/>
          <w:color w:val="000000" w:themeColor="text1"/>
          <w:sz w:val="32"/>
          <w:szCs w:val="32"/>
          <w14:textFill>
            <w14:solidFill>
              <w14:schemeClr w14:val="tx1"/>
            </w14:solidFill>
          </w14:textFill>
        </w:rPr>
        <w:t>广泛应用。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第四章 “红、黑名单”管理和应用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第二十三条 </w:t>
      </w:r>
      <w:r>
        <w:rPr>
          <w:rFonts w:hint="eastAsia" w:ascii="仿宋_GB2312" w:hAnsi="仿宋_GB2312" w:eastAsia="仿宋_GB2312"/>
          <w:color w:val="000000" w:themeColor="text1"/>
          <w:sz w:val="32"/>
          <w14:textFill>
            <w14:solidFill>
              <w14:schemeClr w14:val="tx1"/>
            </w14:solidFill>
          </w14:textFill>
        </w:rPr>
        <w:t>人防行业市场责任主体模范遵守法律法规和有关规定，在从业过程中连续3年未产生不良信息或连续3年被评为信用A级的，由省人防主管部门将其列入“红名单”。“红名单”有效</w:t>
      </w:r>
      <w:r>
        <w:rPr>
          <w:rFonts w:ascii="仿宋_GB2312" w:hAnsi="仿宋_GB2312" w:eastAsia="仿宋_GB2312"/>
          <w:color w:val="000000" w:themeColor="text1"/>
          <w:sz w:val="32"/>
          <w14:textFill>
            <w14:solidFill>
              <w14:schemeClr w14:val="tx1"/>
            </w14:solidFill>
          </w14:textFill>
        </w:rPr>
        <w:t>期为</w:t>
      </w:r>
      <w:r>
        <w:rPr>
          <w:rFonts w:hint="eastAsia" w:ascii="仿宋_GB2312" w:hAnsi="仿宋_GB2312" w:eastAsia="仿宋_GB2312"/>
          <w:color w:val="000000" w:themeColor="text1"/>
          <w:sz w:val="32"/>
          <w14:textFill>
            <w14:solidFill>
              <w14:schemeClr w14:val="tx1"/>
            </w14:solidFill>
          </w14:textFill>
        </w:rPr>
        <w:t>公示</w:t>
      </w:r>
      <w:r>
        <w:rPr>
          <w:rFonts w:ascii="仿宋_GB2312" w:hAnsi="仿宋_GB2312" w:eastAsia="仿宋_GB2312"/>
          <w:color w:val="000000" w:themeColor="text1"/>
          <w:sz w:val="32"/>
          <w14:textFill>
            <w14:solidFill>
              <w14:schemeClr w14:val="tx1"/>
            </w14:solidFill>
          </w14:textFill>
        </w:rPr>
        <w:t>之日起一年。</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出现下列情形之一的，应当取消</w:t>
      </w:r>
      <w:r>
        <w:rPr>
          <w:rFonts w:hint="eastAsia" w:ascii="仿宋_GB2312" w:hAnsi="仿宋_GB2312" w:eastAsia="仿宋_GB2312"/>
          <w:color w:val="000000" w:themeColor="text1"/>
          <w:sz w:val="32"/>
          <w14:textFill>
            <w14:solidFill>
              <w14:schemeClr w14:val="tx1"/>
            </w14:solidFill>
          </w14:textFill>
        </w:rPr>
        <w:t>“红名单”</w:t>
      </w:r>
      <w:r>
        <w:rPr>
          <w:rFonts w:hint="eastAsia" w:ascii="仿宋_GB2312" w:hAnsi="仿宋_GB2312" w:eastAsia="仿宋_GB2312" w:cs="仿宋_GB2312"/>
          <w:color w:val="000000" w:themeColor="text1"/>
          <w:sz w:val="32"/>
          <w:szCs w:val="32"/>
          <w14:textFill>
            <w14:solidFill>
              <w14:schemeClr w14:val="tx1"/>
            </w14:solidFill>
          </w14:textFill>
        </w:rPr>
        <w:t>资格，撤除公示信息：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olor w:val="000000" w:themeColor="text1"/>
          <w:sz w:val="32"/>
          <w14:textFill>
            <w14:solidFill>
              <w14:schemeClr w14:val="tx1"/>
            </w14:solidFill>
          </w14:textFill>
        </w:rPr>
        <w:t>“红名单”</w:t>
      </w:r>
      <w:r>
        <w:rPr>
          <w:rFonts w:hint="eastAsia" w:ascii="仿宋_GB2312" w:hAnsi="仿宋_GB2312" w:eastAsia="仿宋_GB2312" w:cs="仿宋_GB2312"/>
          <w:color w:val="000000" w:themeColor="text1"/>
          <w:sz w:val="32"/>
          <w:szCs w:val="32"/>
          <w14:textFill>
            <w14:solidFill>
              <w14:schemeClr w14:val="tx1"/>
            </w14:solidFill>
          </w14:textFill>
        </w:rPr>
        <w:t>有效期届满；</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（二）有效期内产生不良信息的；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（三）被异议经复核属实的；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（四）其他应当取消资格的情况。</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对列入“红名单”的人防行业市场责任主体，可以按照国家规定在实施行政许可、财政性资金和项目支持、公共资源交易等方面采取激励措施。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第二十五条 </w:t>
      </w:r>
      <w:r>
        <w:rPr>
          <w:rFonts w:hint="eastAsia" w:ascii="仿宋_GB2312" w:hAnsi="仿宋_GB2312" w:eastAsia="仿宋_GB2312"/>
          <w:color w:val="000000" w:themeColor="text1"/>
          <w:sz w:val="32"/>
          <w14:textFill>
            <w14:solidFill>
              <w14:schemeClr w14:val="tx1"/>
            </w14:solidFill>
          </w14:textFill>
        </w:rPr>
        <w:t>人防行业市场责任主体有下列情形之一的，省人防主管部门应当将其列入</w:t>
      </w:r>
      <w:r>
        <w:rPr>
          <w:rFonts w:hint="eastAsia" w:ascii="仿宋_GB2312" w:hAnsi="仿宋_GB2312" w:eastAsia="仿宋_GB2312" w:cs="仿宋_GB2312"/>
          <w:color w:val="000000" w:themeColor="text1"/>
          <w:sz w:val="32"/>
          <w:szCs w:val="32"/>
          <w14:textFill>
            <w14:solidFill>
              <w14:schemeClr w14:val="tx1"/>
            </w14:solidFill>
          </w14:textFill>
        </w:rPr>
        <w:t>“黑名单”：</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对较大（含）以上安全事故或者12个月内发生2次（含）以上一般安全事故负有主要责任的；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（二）因重大</w:t>
      </w:r>
      <w:r>
        <w:rPr>
          <w:rFonts w:hint="eastAsia" w:hAnsi="仿宋_GB2312" w:cs="仿宋_GB2312"/>
          <w:color w:val="000000" w:themeColor="text1"/>
          <w:sz w:val="32"/>
          <w:szCs w:val="32"/>
          <w:lang w:eastAsia="zh-CN"/>
          <w14:textFill>
            <w14:solidFill>
              <w14:schemeClr w14:val="tx1"/>
            </w14:solidFill>
          </w14:textFill>
        </w:rPr>
        <w:t>人防</w:t>
      </w:r>
      <w:r>
        <w:rPr>
          <w:rFonts w:hint="eastAsia" w:ascii="仿宋_GB2312" w:hAnsi="仿宋_GB2312" w:eastAsia="仿宋_GB2312" w:cs="仿宋_GB2312"/>
          <w:color w:val="000000" w:themeColor="text1"/>
          <w:sz w:val="32"/>
          <w:szCs w:val="32"/>
          <w14:textFill>
            <w14:solidFill>
              <w14:schemeClr w14:val="tx1"/>
            </w14:solidFill>
          </w14:textFill>
        </w:rPr>
        <w:t>违法违规行为受到行政处罚的（适应简易程序行政处罚的除外）；</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（三）12个月内有3次（含）以上不良行为的；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（四）以暴力、威胁等方式拒绝、阻挠人防主管部门执法人员依法实施现场监督检查，或者拒不配合违法违规行为查处，受到行政处罚的；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（五）失信行为认定部门启动提示约谈或警示约谈程序，督促失信责任主体整改，责任主体拒不整改，或整改不力的；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（六）其他违反人防法律、法规、规章、规范性文件，被法院判决确认或受到行政处罚的；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对列入“黑名单”的人防行业市场责任主体，县级以上人防主管部门参照本办法第十九条规定实施惩戒措施。</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六</w:t>
      </w:r>
      <w:r>
        <w:rPr>
          <w:rFonts w:ascii="黑体" w:hAnsi="黑体" w:eastAsia="黑体"/>
          <w:color w:val="000000" w:themeColor="text1"/>
          <w:sz w:val="32"/>
          <w14:textFill>
            <w14:solidFill>
              <w14:schemeClr w14:val="tx1"/>
            </w14:solidFill>
          </w14:textFill>
        </w:rPr>
        <w:t>条</w:t>
      </w:r>
      <w:r>
        <w:rPr>
          <w:rFonts w:ascii="仿宋_GB2312" w:hAnsi="仿宋_GB2312" w:eastAsia="仿宋_GB2312" w:cs="仿宋_GB2312"/>
          <w:color w:val="000000" w:themeColor="text1"/>
          <w:sz w:val="32"/>
          <w:szCs w:val="32"/>
          <w14:textFill>
            <w14:solidFill>
              <w14:schemeClr w14:val="tx1"/>
            </w14:solidFill>
          </w14:textFill>
        </w:rPr>
        <w:t xml:space="preserve"> 对拟认定为</w:t>
      </w:r>
      <w:r>
        <w:rPr>
          <w:rFonts w:hint="eastAsia" w:ascii="仿宋_GB2312" w:hAnsi="仿宋_GB2312" w:eastAsia="仿宋_GB2312" w:cs="仿宋_GB2312"/>
          <w:color w:val="000000" w:themeColor="text1"/>
          <w:sz w:val="32"/>
          <w:szCs w:val="32"/>
          <w14:textFill>
            <w14:solidFill>
              <w14:schemeClr w14:val="tx1"/>
            </w14:solidFill>
          </w14:textFill>
        </w:rPr>
        <w:t>“黑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应当书面告知拟被列入</w:t>
      </w:r>
      <w:r>
        <w:rPr>
          <w:rFonts w:hint="eastAsia" w:ascii="仿宋_GB2312" w:hAnsi="仿宋_GB2312" w:eastAsia="仿宋_GB2312" w:cs="仿宋_GB2312"/>
          <w:color w:val="000000" w:themeColor="text1"/>
          <w:sz w:val="32"/>
          <w:szCs w:val="32"/>
          <w14:textFill>
            <w14:solidFill>
              <w14:schemeClr w14:val="tx1"/>
            </w14:solidFill>
          </w14:textFill>
        </w:rPr>
        <w:t>“黑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的事实、理由及依据。拟被列入单位有异议的，</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ascii="仿宋_GB2312" w:hAnsi="仿宋_GB2312" w:eastAsia="仿宋_GB2312" w:cs="仿宋_GB2312"/>
          <w:color w:val="000000" w:themeColor="text1"/>
          <w:sz w:val="32"/>
          <w:szCs w:val="32"/>
          <w14:textFill>
            <w14:solidFill>
              <w14:schemeClr w14:val="tx1"/>
            </w14:solidFill>
          </w14:textFill>
        </w:rPr>
        <w:t>在收到告知书之日起</w:t>
      </w: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个工作日内，向</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书面</w:t>
      </w:r>
      <w:r>
        <w:rPr>
          <w:rFonts w:ascii="仿宋_GB2312" w:hAnsi="仿宋_GB2312" w:eastAsia="仿宋_GB2312" w:cs="仿宋_GB2312"/>
          <w:color w:val="000000" w:themeColor="text1"/>
          <w:sz w:val="32"/>
          <w:szCs w:val="32"/>
          <w14:textFill>
            <w14:solidFill>
              <w14:schemeClr w14:val="tx1"/>
            </w14:solidFill>
          </w14:textFill>
        </w:rPr>
        <w:t>陈述和申辩，</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应当在</w:t>
      </w:r>
      <w:r>
        <w:rPr>
          <w:rFonts w:hint="eastAsia" w:ascii="仿宋_GB2312" w:hAnsi="仿宋_GB2312" w:eastAsia="仿宋_GB2312" w:cs="仿宋_GB2312"/>
          <w:color w:val="000000" w:themeColor="text1"/>
          <w:sz w:val="32"/>
          <w:szCs w:val="32"/>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个工作日内</w:t>
      </w:r>
      <w:r>
        <w:rPr>
          <w:rFonts w:hint="eastAsia" w:ascii="仿宋_GB2312" w:hAnsi="仿宋_GB2312" w:eastAsia="仿宋_GB2312" w:cs="仿宋_GB2312"/>
          <w:color w:val="000000" w:themeColor="text1"/>
          <w:sz w:val="32"/>
          <w:szCs w:val="32"/>
          <w14:textFill>
            <w14:solidFill>
              <w14:schemeClr w14:val="tx1"/>
            </w14:solidFill>
          </w14:textFill>
        </w:rPr>
        <w:t>处理完毕。情况复杂的，可以适当延长处理期限，但累计不得超过20个工作日。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七</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黑名单”公布期限为12个月，在“黑名单”公布期内，每出现1次不良行为，公布期限延长6个月，最长不超过24个月。在“黑名单”公布期内，再次列入“黑名单”的，公布期限延长12个月。受到行政处罚的，公布期限不得少于行政处罚信息公示期限，时间自公布之日起计算。对公布期内整改不力或者拒不整改的，可以延长公布期限至整改完毕。</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5"/>
        <w:jc w:val="left"/>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二十八</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被列入“黑名单”的人防行业市场责任主体在公布期限内未再次发生符合列入不良行为记录或者“黑名单”情形的，由省人防主管部门将其移出。</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第五章 附则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第二十九条 </w:t>
      </w:r>
      <w:r>
        <w:rPr>
          <w:rFonts w:hint="eastAsia" w:ascii="仿宋_GB2312" w:hAnsi="仿宋_GB2312" w:eastAsia="仿宋_GB2312"/>
          <w:color w:val="000000" w:themeColor="text1"/>
          <w:sz w:val="32"/>
          <w14:textFill>
            <w14:solidFill>
              <w14:schemeClr w14:val="tx1"/>
            </w14:solidFill>
          </w14:textFill>
        </w:rPr>
        <w:t>信用</w:t>
      </w:r>
      <w:r>
        <w:rPr>
          <w:rFonts w:ascii="仿宋_GB2312" w:hAnsi="仿宋_GB2312" w:eastAsia="仿宋_GB2312"/>
          <w:color w:val="000000" w:themeColor="text1"/>
          <w:sz w:val="32"/>
          <w14:textFill>
            <w14:solidFill>
              <w14:schemeClr w14:val="tx1"/>
            </w14:solidFill>
          </w14:textFill>
        </w:rPr>
        <w:t>修复程序按照《浙江省公共信用修复管理暂行办法》执行。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第三十条 </w:t>
      </w:r>
      <w:r>
        <w:rPr>
          <w:rFonts w:hint="eastAsia" w:ascii="仿宋_GB2312" w:hAnsi="仿宋_GB2312" w:eastAsia="仿宋_GB2312"/>
          <w:color w:val="000000" w:themeColor="text1"/>
          <w:sz w:val="32"/>
          <w14:textFill>
            <w14:solidFill>
              <w14:schemeClr w14:val="tx1"/>
            </w14:solidFill>
          </w14:textFill>
        </w:rPr>
        <w:t>本办法由浙江省人民防空办公室负责解释，自2</w:t>
      </w:r>
      <w:r>
        <w:rPr>
          <w:rFonts w:ascii="仿宋_GB2312" w:hAnsi="仿宋_GB2312" w:eastAsia="仿宋_GB2312"/>
          <w:color w:val="000000" w:themeColor="text1"/>
          <w:sz w:val="32"/>
          <w14:textFill>
            <w14:solidFill>
              <w14:schemeClr w14:val="tx1"/>
            </w14:solidFill>
          </w14:textFill>
        </w:rPr>
        <w:t>02</w:t>
      </w:r>
      <w:r>
        <w:rPr>
          <w:rFonts w:hint="eastAsia" w:ascii="仿宋_GB2312" w:hAnsi="仿宋_GB2312" w:eastAsia="仿宋_GB2312"/>
          <w:color w:val="000000" w:themeColor="text1"/>
          <w:sz w:val="32"/>
          <w14:textFill>
            <w14:solidFill>
              <w14:schemeClr w14:val="tx1"/>
            </w14:solidFill>
          </w14:textFill>
        </w:rPr>
        <w:t>1年</w:t>
      </w:r>
      <w:r>
        <w:rPr>
          <w:rFonts w:ascii="仿宋_GB2312" w:hAnsi="仿宋_GB2312" w:eastAsia="仿宋_GB2312"/>
          <w:color w:val="000000" w:themeColor="text1"/>
          <w:sz w:val="32"/>
          <w14:textFill>
            <w14:solidFill>
              <w14:schemeClr w14:val="tx1"/>
            </w14:solidFill>
          </w14:textFill>
        </w:rPr>
        <w:t>1</w:t>
      </w:r>
      <w:r>
        <w:rPr>
          <w:rFonts w:hint="eastAsia" w:ascii="仿宋_GB2312" w:hAnsi="仿宋_GB2312" w:eastAsia="仿宋_GB2312"/>
          <w:color w:val="000000" w:themeColor="text1"/>
          <w:sz w:val="32"/>
          <w14:textFill>
            <w14:solidFill>
              <w14:schemeClr w14:val="tx1"/>
            </w14:solidFill>
          </w14:textFill>
        </w:rPr>
        <w:t>月</w:t>
      </w:r>
      <w:r>
        <w:rPr>
          <w:rFonts w:ascii="仿宋_GB2312" w:hAnsi="仿宋_GB2312" w:eastAsia="仿宋_GB2312"/>
          <w:color w:val="000000" w:themeColor="text1"/>
          <w:sz w:val="32"/>
          <w14:textFill>
            <w14:solidFill>
              <w14:schemeClr w14:val="tx1"/>
            </w14:solidFill>
          </w14:textFill>
        </w:rPr>
        <w:t>1</w:t>
      </w:r>
      <w:r>
        <w:rPr>
          <w:rFonts w:hint="eastAsia" w:ascii="仿宋_GB2312" w:hAnsi="仿宋_GB2312" w:eastAsia="仿宋_GB2312"/>
          <w:color w:val="000000" w:themeColor="text1"/>
          <w:sz w:val="32"/>
          <w14:textFill>
            <w14:solidFill>
              <w14:schemeClr w14:val="tx1"/>
            </w14:solidFill>
          </w14:textFill>
        </w:rPr>
        <w:t>日起施行。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附件：1.浙江省人防行业市场责任主体不良行为认定标准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2.浙江省人防行业市场责任主体信用评价</w:t>
      </w:r>
      <w:r>
        <w:rPr>
          <w:rFonts w:hint="eastAsia" w:hAnsi="仿宋_GB2312"/>
          <w:color w:val="000000" w:themeColor="text1"/>
          <w:sz w:val="32"/>
          <w:lang w:eastAsia="zh-CN"/>
          <w14:textFill>
            <w14:solidFill>
              <w14:schemeClr w14:val="tx1"/>
            </w14:solidFill>
          </w14:textFill>
        </w:rPr>
        <w:t>指标及评分</w:t>
      </w:r>
      <w:r>
        <w:rPr>
          <w:rFonts w:hint="eastAsia" w:ascii="仿宋_GB2312" w:hAnsi="仿宋_GB2312" w:eastAsia="仿宋_GB2312"/>
          <w:color w:val="000000" w:themeColor="text1"/>
          <w:sz w:val="32"/>
          <w14:textFill>
            <w14:solidFill>
              <w14:schemeClr w14:val="tx1"/>
            </w14:solidFill>
          </w14:textFill>
        </w:rPr>
        <w:t>标准</w:t>
      </w:r>
      <w:r>
        <w:rPr>
          <w:rFonts w:hint="eastAsia" w:hAnsi="仿宋_GB2312"/>
          <w:color w:val="000000" w:themeColor="text1"/>
          <w:sz w:val="32"/>
          <w:lang w:eastAsia="zh-CN"/>
          <w14:textFill>
            <w14:solidFill>
              <w14:schemeClr w14:val="tx1"/>
            </w14:solidFill>
          </w14:textFill>
        </w:rPr>
        <w:t>（试行）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3.浙江省人防行业市场责任主体不良行为记录审核表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4.浙江省人防行业市场责任主体“红、黑名单”记录审核表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5.浙江省人防行业市场责任主体不良信息和“黑名单”信息认定告知书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方正小标宋简体" w:hAnsi="仿宋" w:eastAsia="方正小标宋简体" w:cs="宋体"/>
          <w:color w:val="000000" w:themeColor="text1"/>
          <w:kern w:val="0"/>
          <w:sz w:val="44"/>
          <w:szCs w:val="44"/>
          <w14:textFill>
            <w14:solidFill>
              <w14:schemeClr w14:val="tx1"/>
            </w14:solidFill>
          </w14:textFill>
        </w:rPr>
        <w:t>人防行业市场责任主体不良行为认定标准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（一）以欺骗、贿赂等不正当手段取得行政许可、行政确认、行政给付、行政奖励的；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（二）不建、少建防空地下室的；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（三）未按照国家规定将人防工程（兼顾人防需要的地下工程）竣工验收报告、有关认可文件或者准许使用文件报送人防主管部门备案的；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（四）未组织人防工程竣工验收或者验收不合格，擅自交付使用的；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（五）对不合格的人防工程按照合格验收的；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（六）超越本单位资质等级承揽人防业务的；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（七）允许其他单位或者个人以本单位名义承揽人防业务的；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（八）承包单位将承包的人防工程转包或者违法分包的；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（九）未按照工程建设强制性标准、勘察成果文件进行勘察、设计等的；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（十）设计单位指定建筑材料、建筑构配件的生产厂、供应商的；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（十一）人防工程监理单位与被监理人防工程的施工承包单位以及建筑材料、建筑构配件和设备供应单位有隶属关系或者其他利害关系承担该项人防工程的监理业务的；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（十二）不履行人防工程保修义务或者拖延履行保修义务的；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（十三）危害人防工程及设施安全或者降低人防工程防护能力的；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（十四）不按国家规定的防护标准和质量标准修建人防工程的；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（十五）防空地下室维护管理不符合要求的；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（十六）平时利用人防工程未办理登记手续的；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（十七）逾期不补报防空地下室使用和维护管理协议的；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（十八）擅自拆除、改造、报废人防工程的；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（十九）其他违反人民防空建设相关法律、法规、规章、工程建设强制性标准、规范性文件等规定的。</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jc w:val="both"/>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jc w:val="both"/>
        <w:textAlignment w:val="auto"/>
        <w:outlineLvl w:val="9"/>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val="0"/>
        <w:snapToGrid w:val="0"/>
        <w:spacing w:before="410" w:beforeLines="100" w:line="360" w:lineRule="auto"/>
        <w:ind w:left="0" w:leftChars="0" w:right="0" w:rightChars="0" w:firstLine="0" w:firstLineChars="0"/>
        <w:jc w:val="center"/>
        <w:textAlignment w:val="auto"/>
        <w:outlineLvl w:val="9"/>
        <w:rPr>
          <w:rFonts w:eastAsia="仿宋_GB2312"/>
          <w:color w:val="000000" w:themeColor="text1"/>
          <w:spacing w:val="-2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浙江省人防行业信用评价指标及评分标准（试行）</w:t>
      </w:r>
    </w:p>
    <w:tbl>
      <w:tblPr>
        <w:tblStyle w:val="9"/>
        <w:tblW w:w="8880" w:type="dxa"/>
        <w:jc w:val="center"/>
        <w:shd w:val="clear" w:color="99CCFF" w:fill="auto"/>
        <w:tblLayout w:type="fixed"/>
        <w:tblCellMar>
          <w:top w:w="0" w:type="dxa"/>
          <w:left w:w="108" w:type="dxa"/>
          <w:bottom w:w="0" w:type="dxa"/>
          <w:right w:w="108" w:type="dxa"/>
        </w:tblCellMar>
      </w:tblPr>
      <w:tblGrid>
        <w:gridCol w:w="2086"/>
        <w:gridCol w:w="2258"/>
        <w:gridCol w:w="4536"/>
      </w:tblGrid>
      <w:tr>
        <w:tblPrEx>
          <w:shd w:val="clear" w:color="99CCFF" w:fill="auto"/>
          <w:tblCellMar>
            <w:top w:w="0" w:type="dxa"/>
            <w:left w:w="108" w:type="dxa"/>
            <w:bottom w:w="0" w:type="dxa"/>
            <w:right w:w="108" w:type="dxa"/>
          </w:tblCellMar>
        </w:tblPrEx>
        <w:trPr>
          <w:trHeight w:val="561" w:hRule="atLeast"/>
          <w:jc w:val="center"/>
        </w:trPr>
        <w:tc>
          <w:tcPr>
            <w:tcW w:w="2086"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一级指标</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二级指标</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评分标准</w:t>
            </w:r>
          </w:p>
        </w:tc>
      </w:tr>
      <w:tr>
        <w:tblPrEx>
          <w:tblCellMar>
            <w:top w:w="0" w:type="dxa"/>
            <w:left w:w="108" w:type="dxa"/>
            <w:bottom w:w="0" w:type="dxa"/>
            <w:right w:w="108" w:type="dxa"/>
          </w:tblCellMar>
        </w:tblPrEx>
        <w:trPr>
          <w:trHeight w:val="572" w:hRule="atLeast"/>
          <w:jc w:val="center"/>
        </w:trPr>
        <w:tc>
          <w:tcPr>
            <w:tcW w:w="208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企业公共信用（100分）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企业公共信用评价结果（0-1000分）*10%</w:t>
            </w:r>
          </w:p>
        </w:tc>
      </w:tr>
      <w:tr>
        <w:tblPrEx>
          <w:tblCellMar>
            <w:top w:w="0" w:type="dxa"/>
            <w:left w:w="108" w:type="dxa"/>
            <w:bottom w:w="0" w:type="dxa"/>
            <w:right w:w="108" w:type="dxa"/>
          </w:tblCellMar>
        </w:tblPrEx>
        <w:trPr>
          <w:trHeight w:val="572"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资质资信</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（50分）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资质条件（20分）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具备人防行业从业资质条件加20分</w:t>
            </w:r>
          </w:p>
        </w:tc>
      </w:tr>
      <w:tr>
        <w:tblPrEx>
          <w:tblCellMar>
            <w:top w:w="0" w:type="dxa"/>
            <w:left w:w="108" w:type="dxa"/>
            <w:bottom w:w="0" w:type="dxa"/>
            <w:right w:w="108" w:type="dxa"/>
          </w:tblCellMar>
        </w:tblPrEx>
        <w:trPr>
          <w:trHeight w:val="792"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成立时间（10分）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10年以上的10分；3-10年以下每少一年减1分；3年以下不得分</w:t>
            </w:r>
          </w:p>
        </w:tc>
      </w:tr>
      <w:tr>
        <w:tblPrEx>
          <w:tblCellMar>
            <w:top w:w="0" w:type="dxa"/>
            <w:left w:w="108" w:type="dxa"/>
            <w:bottom w:w="0" w:type="dxa"/>
            <w:right w:w="108" w:type="dxa"/>
          </w:tblCellMar>
        </w:tblPrEx>
        <w:trPr>
          <w:trHeight w:val="571"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业务业绩（20分）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年内每承接1个人防项目加2分，上限20分</w:t>
            </w:r>
          </w:p>
        </w:tc>
      </w:tr>
      <w:tr>
        <w:tblPrEx>
          <w:tblCellMar>
            <w:top w:w="0" w:type="dxa"/>
            <w:left w:w="108" w:type="dxa"/>
            <w:bottom w:w="0" w:type="dxa"/>
            <w:right w:w="108" w:type="dxa"/>
          </w:tblCellMar>
        </w:tblPrEx>
        <w:trPr>
          <w:trHeight w:val="505"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遵纪守法</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（600分）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不良行为（300分）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被人防主管部门认定有不良行为的每次扣100分，上限不超过300分</w:t>
            </w:r>
          </w:p>
        </w:tc>
      </w:tr>
      <w:tr>
        <w:tblPrEx>
          <w:tblCellMar>
            <w:top w:w="0" w:type="dxa"/>
            <w:left w:w="108" w:type="dxa"/>
            <w:bottom w:w="0" w:type="dxa"/>
            <w:right w:w="108" w:type="dxa"/>
          </w:tblCellMar>
        </w:tblPrEx>
        <w:trPr>
          <w:trHeight w:val="787"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人防行业黑名单（300分）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当年内被</w:t>
            </w:r>
            <w:r>
              <w:rPr>
                <w:rFonts w:hint="eastAsia" w:hAnsi="微软雅黑"/>
                <w:color w:val="000000" w:themeColor="text1"/>
                <w:sz w:val="24"/>
                <w:szCs w:val="24"/>
                <w:lang w:eastAsia="zh-CN"/>
                <w14:textFill>
                  <w14:solidFill>
                    <w14:schemeClr w14:val="tx1"/>
                  </w14:solidFill>
                </w14:textFill>
              </w:rPr>
              <w:t>列入“</w:t>
            </w:r>
            <w:r>
              <w:rPr>
                <w:rFonts w:hint="eastAsia" w:ascii="仿宋_GB2312" w:hAnsi="微软雅黑" w:eastAsia="仿宋_GB2312"/>
                <w:color w:val="000000" w:themeColor="text1"/>
                <w:sz w:val="24"/>
                <w:szCs w:val="24"/>
                <w14:textFill>
                  <w14:solidFill>
                    <w14:schemeClr w14:val="tx1"/>
                  </w14:solidFill>
                </w14:textFill>
              </w:rPr>
              <w:t>黑名单</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的扣300分，评价期内修复的加200分；非当年内被列为</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黑名单</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的在评价期内仍未移出的扣200分，评价期内移出的不扣分</w:t>
            </w:r>
          </w:p>
        </w:tc>
      </w:tr>
      <w:tr>
        <w:tblPrEx>
          <w:tblCellMar>
            <w:top w:w="0" w:type="dxa"/>
            <w:left w:w="108" w:type="dxa"/>
            <w:bottom w:w="0" w:type="dxa"/>
            <w:right w:w="108" w:type="dxa"/>
          </w:tblCellMar>
        </w:tblPrEx>
        <w:trPr>
          <w:trHeight w:val="543"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产品（服务）质量</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（200分）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工作质量（100分）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在行政检查中发现有质量问题的每次扣50分</w:t>
            </w:r>
          </w:p>
        </w:tc>
      </w:tr>
      <w:tr>
        <w:tblPrEx>
          <w:tblCellMar>
            <w:top w:w="0" w:type="dxa"/>
            <w:left w:w="108" w:type="dxa"/>
            <w:bottom w:w="0" w:type="dxa"/>
            <w:right w:w="108" w:type="dxa"/>
          </w:tblCellMar>
        </w:tblPrEx>
        <w:trPr>
          <w:trHeight w:val="1176"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履职行为（100分）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在行政管理中发现有违反强制性标准（规范）或有关规定的行为每次扣50分</w:t>
            </w:r>
          </w:p>
        </w:tc>
      </w:tr>
      <w:tr>
        <w:tblPrEx>
          <w:tblCellMar>
            <w:top w:w="0" w:type="dxa"/>
            <w:left w:w="108" w:type="dxa"/>
            <w:bottom w:w="0" w:type="dxa"/>
            <w:right w:w="108" w:type="dxa"/>
          </w:tblCellMar>
        </w:tblPrEx>
        <w:trPr>
          <w:trHeight w:val="906" w:hRule="exact"/>
          <w:jc w:val="center"/>
        </w:trPr>
        <w:tc>
          <w:tcPr>
            <w:tcW w:w="2086" w:type="dxa"/>
            <w:vMerge w:val="restart"/>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其他（50分）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荣誉表彰（10分）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获得设区市以上人民政府或省级以上人防主管部门表彰奖励的，每件（次）加5分，上限10分</w:t>
            </w:r>
          </w:p>
        </w:tc>
      </w:tr>
      <w:tr>
        <w:tblPrEx>
          <w:tblCellMar>
            <w:top w:w="0" w:type="dxa"/>
            <w:left w:w="108" w:type="dxa"/>
            <w:bottom w:w="0" w:type="dxa"/>
            <w:right w:w="108" w:type="dxa"/>
          </w:tblCellMar>
        </w:tblPrEx>
        <w:trPr>
          <w:trHeight w:val="577" w:hRule="atLeast"/>
          <w:jc w:val="center"/>
        </w:trPr>
        <w:tc>
          <w:tcPr>
            <w:tcW w:w="2086" w:type="dxa"/>
            <w:vMerge w:val="continue"/>
            <w:tcBorders>
              <w:left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参与人防科研</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申报浙江省人防科研项目列入计划的加5分；承担浙江省人防科研项目并通过结题评审的加10分</w:t>
            </w:r>
          </w:p>
        </w:tc>
      </w:tr>
      <w:tr>
        <w:tblPrEx>
          <w:tblCellMar>
            <w:top w:w="0" w:type="dxa"/>
            <w:left w:w="108" w:type="dxa"/>
            <w:bottom w:w="0" w:type="dxa"/>
            <w:right w:w="108" w:type="dxa"/>
          </w:tblCellMar>
        </w:tblPrEx>
        <w:trPr>
          <w:trHeight w:val="793" w:hRule="atLeast"/>
          <w:jc w:val="center"/>
        </w:trPr>
        <w:tc>
          <w:tcPr>
            <w:tcW w:w="2086" w:type="dxa"/>
            <w:vMerge w:val="continue"/>
            <w:tcBorders>
              <w:left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参与标准建设</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（10分）</w:t>
            </w:r>
          </w:p>
        </w:tc>
        <w:tc>
          <w:tcPr>
            <w:tcW w:w="4536" w:type="dxa"/>
            <w:tcBorders>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参与编制人防领域国家标准建设加10分；</w:t>
            </w:r>
          </w:p>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参与编制人防领域省级地方标准加5分</w:t>
            </w:r>
          </w:p>
        </w:tc>
      </w:tr>
      <w:tr>
        <w:tblPrEx>
          <w:tblCellMar>
            <w:top w:w="0" w:type="dxa"/>
            <w:left w:w="108" w:type="dxa"/>
            <w:bottom w:w="0" w:type="dxa"/>
            <w:right w:w="108" w:type="dxa"/>
          </w:tblCellMar>
        </w:tblPrEx>
        <w:trPr>
          <w:trHeight w:val="407" w:hRule="atLeast"/>
          <w:jc w:val="center"/>
        </w:trPr>
        <w:tc>
          <w:tcPr>
            <w:tcW w:w="2086" w:type="dxa"/>
            <w:vMerge w:val="continue"/>
            <w:tcBorders>
              <w:left w:val="single" w:color="000000" w:sz="4" w:space="0"/>
              <w:bottom w:val="single" w:color="auto"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auto"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人防行业红名单</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（20分）</w:t>
            </w:r>
          </w:p>
        </w:tc>
        <w:tc>
          <w:tcPr>
            <w:tcW w:w="4536" w:type="dxa"/>
            <w:tcBorders>
              <w:top w:val="single" w:color="000000" w:sz="4" w:space="0"/>
              <w:left w:val="single" w:color="000000" w:sz="4" w:space="0"/>
              <w:bottom w:val="single" w:color="auto"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列入“红名单”的加20分</w:t>
            </w:r>
          </w:p>
        </w:tc>
      </w:tr>
      <w:tr>
        <w:tblPrEx>
          <w:tblCellMar>
            <w:top w:w="0" w:type="dxa"/>
            <w:left w:w="108" w:type="dxa"/>
            <w:bottom w:w="0" w:type="dxa"/>
            <w:right w:w="108" w:type="dxa"/>
          </w:tblCellMar>
        </w:tblPrEx>
        <w:trPr>
          <w:trHeight w:val="533" w:hRule="atLeast"/>
          <w:jc w:val="center"/>
        </w:trPr>
        <w:tc>
          <w:tcPr>
            <w:tcW w:w="2086" w:type="dxa"/>
            <w:tcBorders>
              <w:top w:val="single" w:color="auto" w:sz="4" w:space="0"/>
              <w:left w:val="single" w:color="000000" w:sz="4" w:space="0"/>
              <w:bottom w:val="single" w:color="000000" w:sz="4" w:space="0"/>
              <w:right w:val="single" w:color="000000" w:sz="4" w:space="0"/>
            </w:tcBorders>
            <w:shd w:val="clear" w:color="99CCFF" w:fill="auto"/>
            <w:vAlign w:val="center"/>
          </w:tcPr>
          <w:p>
            <w:pPr>
              <w:spacing w:line="300" w:lineRule="exact"/>
              <w:jc w:val="center"/>
              <w:rPr>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备 注</w:t>
            </w:r>
          </w:p>
        </w:tc>
        <w:tc>
          <w:tcPr>
            <w:tcW w:w="6794" w:type="dxa"/>
            <w:gridSpan w:val="2"/>
            <w:tcBorders>
              <w:top w:val="single" w:color="auto"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微软雅黑" w:hAnsi="微软雅黑" w:eastAsia="微软雅黑"/>
                <w:color w:val="000000" w:themeColor="text1"/>
                <w:sz w:val="24"/>
                <w:szCs w:val="24"/>
                <w14:textFill>
                  <w14:solidFill>
                    <w14:schemeClr w14:val="tx1"/>
                  </w14:solidFill>
                </w14:textFill>
              </w:rPr>
            </w:pPr>
          </w:p>
        </w:tc>
      </w:tr>
    </w:tbl>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方正小标宋简体" w:hAnsi="方正小标宋简体" w:eastAsia="方正小标宋简体" w:cs="方正小标宋简体"/>
          <w:color w:val="000000" w:themeColor="text1"/>
          <w:spacing w:val="-20"/>
          <w:sz w:val="44"/>
          <w:szCs w:val="44"/>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浙江省人防行业市场责任主体不良行为记录审核表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390"/>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单位名称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企业注册地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社会统一</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信用代码</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资质类别</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资质等级</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资质证书编号</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核发机关</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事由</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处理意见</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承办人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批准人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bl>
    <w:p>
      <w:pPr>
        <w:rPr>
          <w:rFonts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36"/>
          <w:szCs w:val="36"/>
          <w14:textFill>
            <w14:solidFill>
              <w14:schemeClr w14:val="tx1"/>
            </w14:solidFill>
          </w14:textFill>
        </w:rPr>
        <w:t>浙江省人防行业市场责任主体“红、黑名单”记录审核表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390"/>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单位名称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企业注册地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社会统一</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信用代码</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资质类别</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资质等级</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资质证书编号</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核发机关</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事由</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处理意见</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承办人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批准人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bl>
    <w:p>
      <w:pPr>
        <w:rPr>
          <w:rFonts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附件5</w:t>
      </w: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widowControl/>
        <w:shd w:val="clear" w:color="auto" w:fill="FFFFFF"/>
        <w:jc w:val="center"/>
        <w:rPr>
          <w:rFonts w:ascii="方正小标宋简体" w:hAnsi="方正小标宋简体" w:eastAsia="方正小标宋简体" w:cs="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浙江省人防行业市场责任主体不良信息和“黑名单”信息认定告知书</w:t>
      </w:r>
    </w:p>
    <w:p>
      <w:pPr>
        <w:widowControl/>
        <w:shd w:val="clear" w:color="auto" w:fill="FFFFFF"/>
        <w:spacing w:line="500" w:lineRule="atLeast"/>
        <w:jc w:val="center"/>
        <w:rPr>
          <w:rFonts w:ascii="宋体" w:hAnsi="宋体" w:cs="宋体"/>
          <w:color w:val="000000" w:themeColor="text1"/>
          <w:kern w:val="0"/>
          <w:sz w:val="72"/>
          <w:szCs w:val="72"/>
          <w14:textFill>
            <w14:solidFill>
              <w14:schemeClr w14:val="tx1"/>
            </w14:solidFill>
          </w14:textFill>
        </w:rPr>
      </w:pPr>
    </w:p>
    <w:p>
      <w:pPr>
        <w:widowControl/>
        <w:shd w:val="clear" w:color="auto" w:fill="FFFFFF"/>
        <w:spacing w:line="500" w:lineRule="atLeas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500" w:lineRule="atLeast"/>
        <w:ind w:firstLine="640" w:firstLineChars="200"/>
        <w:jc w:val="lef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经检查或投诉核查，你单位在人防行业从业中，存在有以下行为：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。该行为违反了</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，属于</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widowControl/>
        <w:shd w:val="clear" w:color="auto" w:fill="FFFFFF"/>
        <w:spacing w:line="500" w:lineRule="atLeast"/>
        <w:jc w:val="lef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widowControl/>
        <w:shd w:val="clear" w:color="auto" w:fill="FFFFFF"/>
        <w:spacing w:line="500" w:lineRule="atLeast"/>
        <w:jc w:val="lef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。你单位如有异议，在收到本认定告知书3个工作日内以书面形式提出申辩意见，</w:t>
      </w:r>
      <w:r>
        <w:rPr>
          <w:rFonts w:hint="eastAsia" w:hAnsi="宋体" w:cs="宋体"/>
          <w:color w:val="000000" w:themeColor="text1"/>
          <w:kern w:val="0"/>
          <w:sz w:val="32"/>
          <w:szCs w:val="32"/>
          <w:lang w:eastAsia="zh-CN"/>
          <w14:textFill>
            <w14:solidFill>
              <w14:schemeClr w14:val="tx1"/>
            </w14:solidFill>
          </w14:textFill>
        </w:rPr>
        <w:t>逾期视为放弃申辩权利</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500" w:lineRule="atLeast"/>
        <w:ind w:firstLine="160" w:firstLineChars="5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ind w:firstLine="160" w:firstLineChars="5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ind w:firstLine="5120" w:firstLineChars="16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（单位公章）</w:t>
      </w:r>
    </w:p>
    <w:p>
      <w:pPr>
        <w:widowControl/>
        <w:shd w:val="clear" w:color="auto" w:fill="FFFFFF"/>
        <w:spacing w:line="500" w:lineRule="atLeast"/>
        <w:ind w:firstLine="4800" w:firstLineChars="15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     月     日</w:t>
      </w:r>
    </w:p>
    <w:p>
      <w:pPr>
        <w:widowControl/>
        <w:shd w:val="clear" w:color="auto" w:fill="FFFFFF"/>
        <w:spacing w:line="500" w:lineRule="atLeast"/>
        <w:ind w:firstLine="4160" w:firstLineChars="130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jc w:val="lef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签收人：                            签收日期：</w:t>
      </w:r>
    </w:p>
    <w:p>
      <w:pPr>
        <w:widowControl/>
        <w:shd w:val="clear" w:color="auto" w:fill="FFFFFF"/>
        <w:spacing w:line="500" w:lineRule="atLeast"/>
        <w:jc w:val="left"/>
        <w:rPr>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本认定告知书一式二份，双方各持一份。</w:t>
      </w:r>
    </w:p>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3" name="直线 2"/>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43.9pt;z-index:1024;mso-width-relative:page;mso-height-relative:page;" filled="f" stroked="t" coordsize="21600,21600" o:gfxdata="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Qls/UAAAA&#10;BgEAAA8AAAAAAAAAAQAgAAAAIgAAAGRycy9kb3ducmV2LnhtbFBLAQIUABQAAAAIAIdO4kCZ3zyX&#10;6AEAANwDAAAOAAAAAAAAAAEAIAAAACMBAABkcnMvZTJvRG9jLnhtbFBLBQYAAAAABgAGAFkBAAB9&#10;BQAAAAA=&#10;">
                <v:fill on="f" focussize="0,0"/>
                <v:stroke weight="1pt" color="#000000" joinstyle="round"/>
                <v:imagedata o:title=""/>
                <o:lock v:ext="edit" aspectratio="f"/>
              </v:line>
            </w:pict>
          </mc:Fallback>
        </mc:AlternateContent>
      </w:r>
    </w:p>
    <w:p>
      <w:pPr>
        <w:tabs>
          <w:tab w:val="left" w:pos="8505"/>
        </w:tabs>
        <w:spacing w:before="40"/>
        <w:ind w:firstLine="280" w:firstLineChars="100"/>
        <w:rPr>
          <w:snapToGrid w:val="0"/>
          <w:color w:val="000000"/>
          <w:kern w:val="0"/>
          <w:sz w:val="28"/>
          <w:szCs w:val="28"/>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5" name="直线 4"/>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jO9JtUA&#10;AAAGAQAADwAAAAAAAAABACAAAAAiAAAAZHJzL2Rvd25yZXYueG1sUEsBAhQAFAAAAAgAh07iQNZ8&#10;1VnpAQAA3AMAAA4AAAAAAAAAAQAgAAAAJAEAAGRycy9lMm9Eb2MueG1sUEsFBgAAAAAGAAYAWQEA&#10;AH8FA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20</w:t>
      </w:r>
      <w:r>
        <w:rPr>
          <w:rFonts w:hint="eastAsia"/>
          <w:snapToGrid w:val="0"/>
          <w:color w:val="000000"/>
          <w:kern w:val="0"/>
          <w:sz w:val="28"/>
          <w:szCs w:val="28"/>
        </w:rPr>
        <w:t>年</w:t>
      </w:r>
      <w:r>
        <w:rPr>
          <w:rFonts w:hint="eastAsia"/>
          <w:snapToGrid w:val="0"/>
          <w:color w:val="000000"/>
          <w:kern w:val="0"/>
          <w:sz w:val="28"/>
          <w:szCs w:val="28"/>
          <w:lang w:val="en-US" w:eastAsia="zh-CN"/>
        </w:rPr>
        <w:t>9</w:t>
      </w:r>
      <w:r>
        <w:rPr>
          <w:rFonts w:hint="eastAsia"/>
          <w:snapToGrid w:val="0"/>
          <w:color w:val="000000"/>
          <w:kern w:val="0"/>
          <w:sz w:val="28"/>
          <w:szCs w:val="28"/>
        </w:rPr>
        <w:t>月</w:t>
      </w:r>
      <w:r>
        <w:rPr>
          <w:rFonts w:hint="eastAsia"/>
          <w:snapToGrid w:val="0"/>
          <w:color w:val="000000"/>
          <w:kern w:val="0"/>
          <w:sz w:val="28"/>
          <w:szCs w:val="28"/>
          <w:lang w:val="en-US" w:eastAsia="zh-CN"/>
        </w:rPr>
        <w:t>28</w:t>
      </w:r>
      <w:r>
        <w:rPr>
          <w:rFonts w:hint="eastAsia"/>
          <w:snapToGrid w:val="0"/>
          <w:color w:val="000000"/>
          <w:kern w:val="0"/>
          <w:sz w:val="28"/>
          <w:szCs w:val="28"/>
        </w:rPr>
        <w:t>日印发</w:t>
      </w:r>
    </w:p>
    <w:sectPr>
      <w:headerReference r:id="rId3" w:type="default"/>
      <w:footerReference r:id="rId4" w:type="default"/>
      <w:pgSz w:w="11906" w:h="16838"/>
      <w:pgMar w:top="2098" w:right="1474" w:bottom="1984" w:left="1587" w:header="851" w:footer="1587"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- 2 -</w:t>
                          </w:r>
                          <w:r>
                            <w:rPr>
                              <w:rStyle w:val="11"/>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- 2 -</w:t>
                    </w:r>
                    <w:r>
                      <w:rPr>
                        <w:rStyle w:val="11"/>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attachedTemplate r:id="rId1"/>
  <w:documentProtection w:enforcement="0"/>
  <w:defaultTabStop w:val="420"/>
  <w:drawingGridHorizontalSpacing w:val="150"/>
  <w:drawingGridVerticalSpacing w:val="2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1"/>
    <w:rsid w:val="00026698"/>
    <w:rsid w:val="00036933"/>
    <w:rsid w:val="000527C7"/>
    <w:rsid w:val="000576D6"/>
    <w:rsid w:val="000616C7"/>
    <w:rsid w:val="000665BD"/>
    <w:rsid w:val="0007607F"/>
    <w:rsid w:val="00076286"/>
    <w:rsid w:val="000A45CF"/>
    <w:rsid w:val="000B5992"/>
    <w:rsid w:val="000C7560"/>
    <w:rsid w:val="000D694E"/>
    <w:rsid w:val="000E2333"/>
    <w:rsid w:val="000E260F"/>
    <w:rsid w:val="000E48EF"/>
    <w:rsid w:val="000E646A"/>
    <w:rsid w:val="000F541F"/>
    <w:rsid w:val="000F7C8F"/>
    <w:rsid w:val="00100BAE"/>
    <w:rsid w:val="00102FD8"/>
    <w:rsid w:val="00122A10"/>
    <w:rsid w:val="001234A0"/>
    <w:rsid w:val="00127923"/>
    <w:rsid w:val="00130EB7"/>
    <w:rsid w:val="0013709A"/>
    <w:rsid w:val="001373C4"/>
    <w:rsid w:val="00141365"/>
    <w:rsid w:val="0014554B"/>
    <w:rsid w:val="00166EFC"/>
    <w:rsid w:val="00183396"/>
    <w:rsid w:val="00184C55"/>
    <w:rsid w:val="001A003D"/>
    <w:rsid w:val="001A6517"/>
    <w:rsid w:val="001B40B0"/>
    <w:rsid w:val="001B607C"/>
    <w:rsid w:val="001B7147"/>
    <w:rsid w:val="001C0885"/>
    <w:rsid w:val="001E5F93"/>
    <w:rsid w:val="001E793B"/>
    <w:rsid w:val="001F0BF6"/>
    <w:rsid w:val="00204436"/>
    <w:rsid w:val="0021044C"/>
    <w:rsid w:val="0021693A"/>
    <w:rsid w:val="00221237"/>
    <w:rsid w:val="00221298"/>
    <w:rsid w:val="002225A3"/>
    <w:rsid w:val="002231C0"/>
    <w:rsid w:val="00227C77"/>
    <w:rsid w:val="00236015"/>
    <w:rsid w:val="00236F1D"/>
    <w:rsid w:val="0024758F"/>
    <w:rsid w:val="00256379"/>
    <w:rsid w:val="0026011D"/>
    <w:rsid w:val="00262ED5"/>
    <w:rsid w:val="00265E80"/>
    <w:rsid w:val="00280D24"/>
    <w:rsid w:val="002871AC"/>
    <w:rsid w:val="002878AA"/>
    <w:rsid w:val="00290F79"/>
    <w:rsid w:val="00292382"/>
    <w:rsid w:val="002A378E"/>
    <w:rsid w:val="002C1F3D"/>
    <w:rsid w:val="002C3972"/>
    <w:rsid w:val="002D165A"/>
    <w:rsid w:val="002D3A4D"/>
    <w:rsid w:val="002D5533"/>
    <w:rsid w:val="002F268F"/>
    <w:rsid w:val="002F35AD"/>
    <w:rsid w:val="002F4FDD"/>
    <w:rsid w:val="002F6378"/>
    <w:rsid w:val="00301615"/>
    <w:rsid w:val="00307750"/>
    <w:rsid w:val="003101F6"/>
    <w:rsid w:val="00310EE8"/>
    <w:rsid w:val="00316165"/>
    <w:rsid w:val="003235BB"/>
    <w:rsid w:val="003315D1"/>
    <w:rsid w:val="00337058"/>
    <w:rsid w:val="00343520"/>
    <w:rsid w:val="0034652E"/>
    <w:rsid w:val="00361556"/>
    <w:rsid w:val="00361AAC"/>
    <w:rsid w:val="00361E3B"/>
    <w:rsid w:val="00364E05"/>
    <w:rsid w:val="00367C98"/>
    <w:rsid w:val="00393EFE"/>
    <w:rsid w:val="003B7814"/>
    <w:rsid w:val="003C0AF2"/>
    <w:rsid w:val="003C72ED"/>
    <w:rsid w:val="003D1B26"/>
    <w:rsid w:val="0041212A"/>
    <w:rsid w:val="0042001B"/>
    <w:rsid w:val="00443645"/>
    <w:rsid w:val="00470F01"/>
    <w:rsid w:val="0047431A"/>
    <w:rsid w:val="00475CB0"/>
    <w:rsid w:val="00492A4A"/>
    <w:rsid w:val="00496490"/>
    <w:rsid w:val="004B6845"/>
    <w:rsid w:val="004C6497"/>
    <w:rsid w:val="004E3959"/>
    <w:rsid w:val="004E39B8"/>
    <w:rsid w:val="004E5AF3"/>
    <w:rsid w:val="004F0CB4"/>
    <w:rsid w:val="00513E60"/>
    <w:rsid w:val="00514C83"/>
    <w:rsid w:val="005349E5"/>
    <w:rsid w:val="00535B78"/>
    <w:rsid w:val="00542136"/>
    <w:rsid w:val="00557E59"/>
    <w:rsid w:val="0056672B"/>
    <w:rsid w:val="00573554"/>
    <w:rsid w:val="00580FA2"/>
    <w:rsid w:val="005814B0"/>
    <w:rsid w:val="00583792"/>
    <w:rsid w:val="00584559"/>
    <w:rsid w:val="00584E7A"/>
    <w:rsid w:val="0059753B"/>
    <w:rsid w:val="005B11C5"/>
    <w:rsid w:val="005B145C"/>
    <w:rsid w:val="005B59AA"/>
    <w:rsid w:val="005E0734"/>
    <w:rsid w:val="005E214C"/>
    <w:rsid w:val="005E3071"/>
    <w:rsid w:val="005F088F"/>
    <w:rsid w:val="005F42ED"/>
    <w:rsid w:val="005F5C72"/>
    <w:rsid w:val="00601DAD"/>
    <w:rsid w:val="00611735"/>
    <w:rsid w:val="00622BFE"/>
    <w:rsid w:val="00623FEF"/>
    <w:rsid w:val="0062544A"/>
    <w:rsid w:val="00631A74"/>
    <w:rsid w:val="00631B30"/>
    <w:rsid w:val="00631E81"/>
    <w:rsid w:val="00640F9A"/>
    <w:rsid w:val="006438F1"/>
    <w:rsid w:val="00646CEA"/>
    <w:rsid w:val="00650968"/>
    <w:rsid w:val="00653A40"/>
    <w:rsid w:val="00660D1F"/>
    <w:rsid w:val="00671268"/>
    <w:rsid w:val="006722FD"/>
    <w:rsid w:val="00680599"/>
    <w:rsid w:val="00684639"/>
    <w:rsid w:val="00685D85"/>
    <w:rsid w:val="00691A90"/>
    <w:rsid w:val="00696BEE"/>
    <w:rsid w:val="00697669"/>
    <w:rsid w:val="006A1B5A"/>
    <w:rsid w:val="006A6C7E"/>
    <w:rsid w:val="006A7A72"/>
    <w:rsid w:val="006B71C0"/>
    <w:rsid w:val="006C1FF7"/>
    <w:rsid w:val="006D0589"/>
    <w:rsid w:val="006D7397"/>
    <w:rsid w:val="006D7842"/>
    <w:rsid w:val="006E1D85"/>
    <w:rsid w:val="006E2405"/>
    <w:rsid w:val="006E3071"/>
    <w:rsid w:val="006E5602"/>
    <w:rsid w:val="006F3F2F"/>
    <w:rsid w:val="006F660B"/>
    <w:rsid w:val="006F74B8"/>
    <w:rsid w:val="00710919"/>
    <w:rsid w:val="00713AD1"/>
    <w:rsid w:val="00735B19"/>
    <w:rsid w:val="007402A6"/>
    <w:rsid w:val="00746511"/>
    <w:rsid w:val="0075099D"/>
    <w:rsid w:val="00752F38"/>
    <w:rsid w:val="00761316"/>
    <w:rsid w:val="00764597"/>
    <w:rsid w:val="007727AC"/>
    <w:rsid w:val="00780A6D"/>
    <w:rsid w:val="007832E2"/>
    <w:rsid w:val="007929A7"/>
    <w:rsid w:val="007961F0"/>
    <w:rsid w:val="007A262F"/>
    <w:rsid w:val="007A4B24"/>
    <w:rsid w:val="007A5095"/>
    <w:rsid w:val="007B20D7"/>
    <w:rsid w:val="007B5499"/>
    <w:rsid w:val="007D1218"/>
    <w:rsid w:val="007D2E51"/>
    <w:rsid w:val="007D2F67"/>
    <w:rsid w:val="007D7F44"/>
    <w:rsid w:val="007E41CD"/>
    <w:rsid w:val="007E6CE5"/>
    <w:rsid w:val="007F5123"/>
    <w:rsid w:val="00814DCF"/>
    <w:rsid w:val="00823935"/>
    <w:rsid w:val="008239C5"/>
    <w:rsid w:val="00824C22"/>
    <w:rsid w:val="0083567F"/>
    <w:rsid w:val="0085547A"/>
    <w:rsid w:val="008558B2"/>
    <w:rsid w:val="008558FE"/>
    <w:rsid w:val="00862BB7"/>
    <w:rsid w:val="00863A6B"/>
    <w:rsid w:val="00874768"/>
    <w:rsid w:val="008807A1"/>
    <w:rsid w:val="00884F70"/>
    <w:rsid w:val="00886EB1"/>
    <w:rsid w:val="008952BC"/>
    <w:rsid w:val="00896906"/>
    <w:rsid w:val="008A5D62"/>
    <w:rsid w:val="008A664B"/>
    <w:rsid w:val="008C494E"/>
    <w:rsid w:val="008E45A4"/>
    <w:rsid w:val="008F7862"/>
    <w:rsid w:val="0091029A"/>
    <w:rsid w:val="00922AF4"/>
    <w:rsid w:val="009231DD"/>
    <w:rsid w:val="009421F7"/>
    <w:rsid w:val="0094417A"/>
    <w:rsid w:val="00947386"/>
    <w:rsid w:val="009571D5"/>
    <w:rsid w:val="00987F0F"/>
    <w:rsid w:val="00996E5B"/>
    <w:rsid w:val="009A489D"/>
    <w:rsid w:val="009C1734"/>
    <w:rsid w:val="009C337F"/>
    <w:rsid w:val="009C40AE"/>
    <w:rsid w:val="009C6113"/>
    <w:rsid w:val="009D1A1B"/>
    <w:rsid w:val="009D32F4"/>
    <w:rsid w:val="009E68E7"/>
    <w:rsid w:val="009F21A0"/>
    <w:rsid w:val="009F3C8D"/>
    <w:rsid w:val="009F466B"/>
    <w:rsid w:val="00A00ADE"/>
    <w:rsid w:val="00A17B6A"/>
    <w:rsid w:val="00A2094B"/>
    <w:rsid w:val="00A22C59"/>
    <w:rsid w:val="00A27B39"/>
    <w:rsid w:val="00A44F74"/>
    <w:rsid w:val="00A45BC9"/>
    <w:rsid w:val="00A51D80"/>
    <w:rsid w:val="00A52DD8"/>
    <w:rsid w:val="00A541C7"/>
    <w:rsid w:val="00A61C9A"/>
    <w:rsid w:val="00A63FA0"/>
    <w:rsid w:val="00A66703"/>
    <w:rsid w:val="00A66DCA"/>
    <w:rsid w:val="00A707DF"/>
    <w:rsid w:val="00A75955"/>
    <w:rsid w:val="00A965A1"/>
    <w:rsid w:val="00A96EB6"/>
    <w:rsid w:val="00AA3DA6"/>
    <w:rsid w:val="00AB7A36"/>
    <w:rsid w:val="00AC06C7"/>
    <w:rsid w:val="00AD0164"/>
    <w:rsid w:val="00AD16B4"/>
    <w:rsid w:val="00AD1763"/>
    <w:rsid w:val="00AD5B60"/>
    <w:rsid w:val="00AD670E"/>
    <w:rsid w:val="00AD6DD5"/>
    <w:rsid w:val="00AE00B7"/>
    <w:rsid w:val="00AE2F6E"/>
    <w:rsid w:val="00AE5088"/>
    <w:rsid w:val="00AE588A"/>
    <w:rsid w:val="00AE7749"/>
    <w:rsid w:val="00AF13DF"/>
    <w:rsid w:val="00B116D4"/>
    <w:rsid w:val="00B11E46"/>
    <w:rsid w:val="00B166CD"/>
    <w:rsid w:val="00B23ACC"/>
    <w:rsid w:val="00B25368"/>
    <w:rsid w:val="00B309C3"/>
    <w:rsid w:val="00B30FC4"/>
    <w:rsid w:val="00B31F28"/>
    <w:rsid w:val="00B33F5C"/>
    <w:rsid w:val="00B4269A"/>
    <w:rsid w:val="00B46C52"/>
    <w:rsid w:val="00B61E4E"/>
    <w:rsid w:val="00B624AB"/>
    <w:rsid w:val="00B64C02"/>
    <w:rsid w:val="00B70E46"/>
    <w:rsid w:val="00B83E25"/>
    <w:rsid w:val="00B86BBF"/>
    <w:rsid w:val="00B942ED"/>
    <w:rsid w:val="00BA0C09"/>
    <w:rsid w:val="00BB4043"/>
    <w:rsid w:val="00BB61AE"/>
    <w:rsid w:val="00BB6E6A"/>
    <w:rsid w:val="00BB76E9"/>
    <w:rsid w:val="00BC308B"/>
    <w:rsid w:val="00BC4365"/>
    <w:rsid w:val="00BD59F1"/>
    <w:rsid w:val="00BE3095"/>
    <w:rsid w:val="00BF335D"/>
    <w:rsid w:val="00BF3475"/>
    <w:rsid w:val="00BF5B22"/>
    <w:rsid w:val="00BF7355"/>
    <w:rsid w:val="00C04B4B"/>
    <w:rsid w:val="00C0616E"/>
    <w:rsid w:val="00C12625"/>
    <w:rsid w:val="00C13870"/>
    <w:rsid w:val="00C16F25"/>
    <w:rsid w:val="00C234B1"/>
    <w:rsid w:val="00C27D3E"/>
    <w:rsid w:val="00C37FEC"/>
    <w:rsid w:val="00C40565"/>
    <w:rsid w:val="00C611B4"/>
    <w:rsid w:val="00C81A72"/>
    <w:rsid w:val="00C85961"/>
    <w:rsid w:val="00C86489"/>
    <w:rsid w:val="00C93B85"/>
    <w:rsid w:val="00C967EA"/>
    <w:rsid w:val="00CA23B9"/>
    <w:rsid w:val="00CC22DF"/>
    <w:rsid w:val="00CD1077"/>
    <w:rsid w:val="00CD3F6A"/>
    <w:rsid w:val="00CD5C19"/>
    <w:rsid w:val="00CE5426"/>
    <w:rsid w:val="00CF5D44"/>
    <w:rsid w:val="00CF61CF"/>
    <w:rsid w:val="00D15FA6"/>
    <w:rsid w:val="00D17472"/>
    <w:rsid w:val="00D17477"/>
    <w:rsid w:val="00D31CEB"/>
    <w:rsid w:val="00D32C7B"/>
    <w:rsid w:val="00D36740"/>
    <w:rsid w:val="00D41F79"/>
    <w:rsid w:val="00D455BC"/>
    <w:rsid w:val="00D539FA"/>
    <w:rsid w:val="00D54BB1"/>
    <w:rsid w:val="00D56BD0"/>
    <w:rsid w:val="00D60F6C"/>
    <w:rsid w:val="00D727AB"/>
    <w:rsid w:val="00D7636C"/>
    <w:rsid w:val="00D913A1"/>
    <w:rsid w:val="00DA670B"/>
    <w:rsid w:val="00DB272A"/>
    <w:rsid w:val="00DC7B53"/>
    <w:rsid w:val="00DE7D86"/>
    <w:rsid w:val="00E07C06"/>
    <w:rsid w:val="00E11C97"/>
    <w:rsid w:val="00E151F4"/>
    <w:rsid w:val="00E26C63"/>
    <w:rsid w:val="00E409E4"/>
    <w:rsid w:val="00E56E3B"/>
    <w:rsid w:val="00E64B01"/>
    <w:rsid w:val="00E735D9"/>
    <w:rsid w:val="00E7406F"/>
    <w:rsid w:val="00E8025F"/>
    <w:rsid w:val="00E81CFF"/>
    <w:rsid w:val="00E8349F"/>
    <w:rsid w:val="00E837E8"/>
    <w:rsid w:val="00E923C8"/>
    <w:rsid w:val="00E94828"/>
    <w:rsid w:val="00E951A1"/>
    <w:rsid w:val="00E96370"/>
    <w:rsid w:val="00EA11D8"/>
    <w:rsid w:val="00EA6A48"/>
    <w:rsid w:val="00EB19B2"/>
    <w:rsid w:val="00EB5ACB"/>
    <w:rsid w:val="00ED2D9A"/>
    <w:rsid w:val="00EE2325"/>
    <w:rsid w:val="00EE408C"/>
    <w:rsid w:val="00EF7347"/>
    <w:rsid w:val="00F00A6E"/>
    <w:rsid w:val="00F0163B"/>
    <w:rsid w:val="00F06BEB"/>
    <w:rsid w:val="00F22529"/>
    <w:rsid w:val="00F27F92"/>
    <w:rsid w:val="00F31531"/>
    <w:rsid w:val="00F324CB"/>
    <w:rsid w:val="00F336E2"/>
    <w:rsid w:val="00F3570F"/>
    <w:rsid w:val="00F5599D"/>
    <w:rsid w:val="00F5739B"/>
    <w:rsid w:val="00F73F25"/>
    <w:rsid w:val="00F77545"/>
    <w:rsid w:val="00F8523D"/>
    <w:rsid w:val="00F8650F"/>
    <w:rsid w:val="00F9218D"/>
    <w:rsid w:val="00FA0AE8"/>
    <w:rsid w:val="00FA5C67"/>
    <w:rsid w:val="00FB2D15"/>
    <w:rsid w:val="00FC2AD1"/>
    <w:rsid w:val="00FC6E5C"/>
    <w:rsid w:val="00FC7A69"/>
    <w:rsid w:val="00FD1C87"/>
    <w:rsid w:val="00FD57CE"/>
    <w:rsid w:val="00FF3EEB"/>
    <w:rsid w:val="00FF4796"/>
    <w:rsid w:val="0A4E6B93"/>
    <w:rsid w:val="0C911D64"/>
    <w:rsid w:val="0F531C5E"/>
    <w:rsid w:val="11A5135C"/>
    <w:rsid w:val="12915FAF"/>
    <w:rsid w:val="17877436"/>
    <w:rsid w:val="18907924"/>
    <w:rsid w:val="1B8C5B8C"/>
    <w:rsid w:val="1C6D3441"/>
    <w:rsid w:val="20F0046D"/>
    <w:rsid w:val="224F769B"/>
    <w:rsid w:val="234F17C4"/>
    <w:rsid w:val="24A37433"/>
    <w:rsid w:val="25AF43FE"/>
    <w:rsid w:val="26956958"/>
    <w:rsid w:val="2D0A523E"/>
    <w:rsid w:val="31145164"/>
    <w:rsid w:val="3198250F"/>
    <w:rsid w:val="373E3968"/>
    <w:rsid w:val="3759645A"/>
    <w:rsid w:val="38087EB9"/>
    <w:rsid w:val="38AD6D8D"/>
    <w:rsid w:val="39BB576F"/>
    <w:rsid w:val="3C455AF3"/>
    <w:rsid w:val="3DE60BC7"/>
    <w:rsid w:val="447350F1"/>
    <w:rsid w:val="46634140"/>
    <w:rsid w:val="47CA6132"/>
    <w:rsid w:val="47EE721C"/>
    <w:rsid w:val="4CEC6423"/>
    <w:rsid w:val="4D182771"/>
    <w:rsid w:val="50767C12"/>
    <w:rsid w:val="5580505F"/>
    <w:rsid w:val="5C417468"/>
    <w:rsid w:val="5D1906E9"/>
    <w:rsid w:val="5D542134"/>
    <w:rsid w:val="606776D0"/>
    <w:rsid w:val="679834D4"/>
    <w:rsid w:val="6ADF7027"/>
    <w:rsid w:val="741E3F30"/>
    <w:rsid w:val="76741436"/>
    <w:rsid w:val="787F6297"/>
    <w:rsid w:val="79522A83"/>
    <w:rsid w:val="79D07F48"/>
    <w:rsid w:val="7A10059D"/>
    <w:rsid w:val="7A241E42"/>
    <w:rsid w:val="7AB00658"/>
    <w:rsid w:val="7AC80842"/>
    <w:rsid w:val="7E5D312A"/>
    <w:rsid w:val="7FBB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仿宋_GB2312"/>
      <w:b/>
      <w:bCs/>
      <w:kern w:val="44"/>
      <w:sz w:val="44"/>
      <w:szCs w:val="44"/>
      <w:lang w:val="en-US" w:eastAsia="zh-CN"/>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ody Text Indent 2"/>
    <w:basedOn w:val="1"/>
    <w:link w:val="14"/>
    <w:qFormat/>
    <w:uiPriority w:val="0"/>
    <w:pPr>
      <w:widowControl/>
      <w:ind w:firstLine="585"/>
    </w:pPr>
    <w:rPr>
      <w:rFonts w:ascii="宋体" w:eastAsia="宋体"/>
      <w:kern w:val="0"/>
      <w:sz w:val="28"/>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页眉 Char"/>
    <w:link w:val="7"/>
    <w:qFormat/>
    <w:uiPriority w:val="0"/>
    <w:rPr>
      <w:rFonts w:ascii="仿宋_GB2312" w:eastAsia="仿宋_GB2312"/>
      <w:kern w:val="2"/>
      <w:sz w:val="18"/>
      <w:szCs w:val="18"/>
    </w:rPr>
  </w:style>
  <w:style w:type="paragraph" w:customStyle="1" w:styleId="13">
    <w:name w:val="p0"/>
    <w:basedOn w:val="1"/>
    <w:qFormat/>
    <w:uiPriority w:val="0"/>
    <w:pPr>
      <w:widowControl/>
    </w:pPr>
    <w:rPr>
      <w:rFonts w:ascii="Times New Roman" w:eastAsia="宋体"/>
      <w:kern w:val="0"/>
      <w:sz w:val="21"/>
      <w:szCs w:val="21"/>
    </w:rPr>
  </w:style>
  <w:style w:type="character" w:customStyle="1" w:styleId="14">
    <w:name w:val="正文文本缩进 2 Char"/>
    <w:link w:val="4"/>
    <w:qFormat/>
    <w:uiPriority w:val="0"/>
    <w:rPr>
      <w:rFonts w:ascii="宋体"/>
      <w:sz w:val="28"/>
    </w:rPr>
  </w:style>
  <w:style w:type="paragraph" w:customStyle="1" w:styleId="15">
    <w:name w:val="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eastAsia="宋体"/>
      <w:sz w:val="21"/>
    </w:rPr>
  </w:style>
  <w:style w:type="character" w:customStyle="1" w:styleId="16">
    <w:name w:val="批注框文本 Char"/>
    <w:link w:val="5"/>
    <w:qFormat/>
    <w:uiPriority w:val="0"/>
    <w:rPr>
      <w:rFonts w:ascii="仿宋_GB2312" w:eastAsia="仿宋_GB2312"/>
      <w:kern w:val="2"/>
      <w:sz w:val="18"/>
      <w:szCs w:val="18"/>
    </w:rPr>
  </w:style>
  <w:style w:type="character" w:customStyle="1" w:styleId="17">
    <w:name w:val="页码1"/>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20989;&#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4C43-F532-4293-8B4A-939DD3C2E11C}">
  <ds:schemaRefs/>
</ds:datastoreItem>
</file>

<file path=docProps/app.xml><?xml version="1.0" encoding="utf-8"?>
<Properties xmlns="http://schemas.openxmlformats.org/officeDocument/2006/extended-properties" xmlns:vt="http://schemas.openxmlformats.org/officeDocument/2006/docPropsVTypes">
  <Template>浙人防函新</Template>
  <Company>RFB</Company>
  <Pages>2</Pages>
  <Words>73</Words>
  <Characters>422</Characters>
  <Lines>3</Lines>
  <Paragraphs>1</Paragraphs>
  <TotalTime>4</TotalTime>
  <ScaleCrop>false</ScaleCrop>
  <LinksUpToDate>false</LinksUpToDate>
  <CharactersWithSpaces>494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2012-12-18T07:06:00Z</dcterms:created>
  <dc:creator>dell</dc:creator>
  <cp:lastModifiedBy>奔波儿灞、奇葩</cp:lastModifiedBy>
  <cp:lastPrinted>2020-09-28T07:27:00Z</cp:lastPrinted>
  <dcterms:modified xsi:type="dcterms:W3CDTF">2021-01-07T07:02:49Z</dcterms:modified>
  <dc:title>浙人防办〔2003〕号</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